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20" w:before="280"/>
      </w:pPr>
      <w:r>
        <w:rPr>
          <w:color w:val="141413"/>
        </w:rPr>
        <w:t xml:space="preserve">Reference evidence form</w:t>
      </w:r>
    </w:p>
    <w:p>
      <w:pPr>
        <w:spacing w:after="160" w:line="276"/>
      </w:pPr>
      <w:r>
        <w:rPr>
          <w:i/>
          <w:iCs/>
          <w:color w:val="4D4C48"/>
        </w:rPr>
        <w:t xml:space="preserve">A structured worksheet for gathering the evidence behind a strong UCAS reference — before the deadline scramble. Students and subject teachers complete the factual sections; the reference writer turns them into the school's professional view. Free to use and adapt.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How to use this form</w:t>
      </w:r>
    </w:p>
    <w:p>
      <w:pPr>
        <w:spacing w:after="160" w:line="276"/>
      </w:pPr>
      <w:r>
        <w:rPr>
          <w:color w:val="4D4C48"/>
        </w:rPr>
        <w:t xml:space="preserve">A strong reference is built from specifics: real examples, accurately attributed, gathered while they are fresh. The most common avoidable mistake is leaving evidence-gathering until October, when teachers are writing from memory under pressure.</w:t>
      </w:r>
    </w:p>
    <w:p>
      <w:pPr>
        <w:spacing w:after="160" w:line="276"/>
      </w:pPr>
      <w:r>
        <w:rPr>
          <w:color w:val="4D4C48"/>
        </w:rPr>
        <w:t xml:space="preserve">This form moves that work earlier and spreads it across the people who actually hold the evidence.</w:t>
      </w:r>
    </w:p>
    <w:p>
      <w:pPr>
        <w:spacing w:after="160" w:line="276"/>
      </w:pPr>
      <w:r>
        <w:rPr>
          <w:b/>
          <w:bCs/>
          <w:color w:val="4D4C48"/>
        </w:rPr>
        <w:t xml:space="preserve">Suggested process:</w:t>
      </w:r>
    </w:p>
    <w:p>
      <w:pPr>
        <w:spacing w:after="60" w:line="264"/>
      </w:pPr>
      <w:r>
        <w:rPr>
          <w:b/>
          <w:bCs/>
          <w:color w:val="4D4C48"/>
        </w:rPr>
        <w:t xml:space="preserve">The student</w:t>
      </w:r>
      <w:r>
        <w:rPr>
          <w:color w:val="4D4C48"/>
        </w:rPr>
        <w:t xml:space="preserve"> completes the factual sections about their reading, experience, and responsibilities — ideally during the summer or early in Year 13.</w:t>
      </w:r>
    </w:p>
    <w:p>
      <w:pPr>
        <w:spacing w:after="60" w:line="264"/>
      </w:pPr>
      <w:r>
        <w:rPr>
          <w:b/>
          <w:bCs/>
          <w:color w:val="4D4C48"/>
        </w:rPr>
        <w:t xml:space="preserve">Subject teachers and tutors</w:t>
      </w:r>
      <w:r>
        <w:rPr>
          <w:color w:val="4D4C48"/>
        </w:rPr>
        <w:t xml:space="preserve"> add academic evidence and context they hold.</w:t>
      </w:r>
    </w:p>
    <w:p>
      <w:pPr>
        <w:spacing w:after="60" w:line="264"/>
      </w:pPr>
      <w:r>
        <w:rPr>
          <w:b/>
          <w:bCs/>
          <w:color w:val="4D4C48"/>
        </w:rPr>
        <w:t xml:space="preserve">The reference writer</w:t>
      </w:r>
      <w:r>
        <w:rPr>
          <w:color w:val="4D4C48"/>
        </w:rPr>
        <w:t xml:space="preserve"> uses the assembled evidence to draft the reference. They own the wording, the judgement, and the final sign-off.</w:t>
      </w:r>
    </w:p>
    <w:p>
      <w:pPr>
        <w:spacing w:after="160" w:line="276"/>
      </w:pPr>
      <w:r>
        <w:rPr>
          <w:color w:val="4D4C48"/>
        </w:rPr>
        <w:t xml:space="preserve">This form gathers </w:t>
      </w:r>
      <w:r>
        <w:rPr>
          <w:i/>
          <w:iCs/>
          <w:color w:val="4D4C48"/>
        </w:rPr>
        <w:t xml:space="preserve">evidence</w:t>
      </w:r>
      <w:r>
        <w:rPr>
          <w:color w:val="4D4C48"/>
        </w:rPr>
        <w:t xml:space="preserve">. It is </w:t>
      </w:r>
      <w:r>
        <w:rPr>
          <w:b/>
          <w:bCs/>
          <w:color w:val="4D4C48"/>
        </w:rPr>
        <w:t xml:space="preserve">not</w:t>
      </w:r>
      <w:r>
        <w:rPr>
          <w:color w:val="4D4C48"/>
        </w:rPr>
        <w:t xml:space="preserve"> a draft reference, and students should not be asked to write their own reference wording.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Section A — Student and route</w:t>
      </w:r>
    </w:p>
    <w:tbl>
      <w:tblPr>
        <w:tblW w:type="pct" w:w="100%"/>
        <w:tblBorders>
          <w:top w:val="single" w:color="D1CFC5" w:sz="4"/>
          <w:left w:val="single" w:color="D1CFC5" w:sz="4"/>
          <w:bottom w:val="single" w:color="D1CFC5" w:sz="4"/>
          <w:right w:val="single" w:color="D1CFC5" w:sz="4"/>
          <w:insideH w:val="single" w:color="D1CFC5" w:sz="4"/>
          <w:insideV w:val="single" w:color="D1CFC5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DFD5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141413"/>
              </w:rPr>
              <w:t xml:space="preserve">Field</w:t>
            </w:r>
          </w:p>
        </w:tc>
        <w:tc>
          <w:tcPr>
            <w:shd w:fill="F0DFD5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141413"/>
              </w:rPr>
              <w:t xml:space="preserve">Detail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Student name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/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Tutor group / cohort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/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Intended course or route area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/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Five choices (if known)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/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Early (15 Oct) or main (13 Jan) deadline?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/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Reference writer / owner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/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Predicted grades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/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Sensitive circumstances to handle separately?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color w:val="141413"/>
              </w:rPr>
              <w:t xml:space="preserve">Yes / No — (if yes, route via the named staff member, not this form)</w:t>
            </w:r>
          </w:p>
        </w:tc>
      </w:tr>
    </w:tbl>
    <w:p>
      <w:pPr>
        <w:spacing w:after="120"/>
      </w:pP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Section B — Academic evidence </w:t>
      </w:r>
      <w:r>
        <w:rPr>
          <w:i/>
          <w:iCs/>
          <w:color w:val="141413"/>
        </w:rPr>
        <w:t xml:space="preserve">(completed with subject teachers)</w:t>
      </w:r>
    </w:p>
    <w:p>
      <w:pPr>
        <w:spacing w:after="160" w:line="276"/>
      </w:pPr>
      <w:r>
        <w:rPr>
          <w:color w:val="4D4C48"/>
        </w:rPr>
        <w:t xml:space="preserve">For each subject, capture concrete, verifiable evidence — not adjectives. "Top of the class" is weaker than "independently extended the coursework into a second investigation."</w:t>
      </w:r>
    </w:p>
    <w:p>
      <w:pPr>
        <w:spacing w:after="160" w:line="276"/>
      </w:pPr>
      <w:r>
        <w:rPr>
          <w:b/>
          <w:bCs/>
          <w:color w:val="4D4C48"/>
        </w:rPr>
        <w:t xml:space="preserve">Subject 1: ________________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Specific strength or achievement (with evidence):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Source (assessment / project / class work / competition):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Why it matters for the intended route: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Contributing teacher:</w:t>
      </w:r>
    </w:p>
    <w:p>
      <w:pPr>
        <w:spacing w:after="160" w:line="276"/>
      </w:pPr>
      <w:r>
        <w:rPr>
          <w:b/>
          <w:bCs/>
          <w:color w:val="4D4C48"/>
        </w:rPr>
        <w:t xml:space="preserve">Subject 2: ________________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Specific strength or achievement (with evidence):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Source: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Why it matters for the intended route: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Contributing teacher:</w:t>
      </w:r>
    </w:p>
    <w:p>
      <w:pPr>
        <w:spacing w:after="160" w:line="276"/>
      </w:pPr>
      <w:r>
        <w:rPr>
          <w:b/>
          <w:bCs/>
          <w:color w:val="4D4C48"/>
        </w:rPr>
        <w:t xml:space="preserve">Subject 3: ________________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Specific strength or achievement (with evidence):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Source: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Why it matters for the intended route: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Contributing teacher:</w:t>
      </w:r>
    </w:p>
    <w:p>
      <w:pPr>
        <w:spacing w:after="160" w:line="276"/>
      </w:pPr>
      <w:r>
        <w:rPr>
          <w:i/>
          <w:iCs/>
          <w:color w:val="4D4C48"/>
        </w:rPr>
        <w:t xml:space="preserve">(Copy the block for additional subjects.)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Section C — Evidence beyond the classroom </w:t>
      </w:r>
      <w:r>
        <w:rPr>
          <w:i/>
          <w:iCs/>
          <w:color w:val="141413"/>
        </w:rPr>
        <w:t xml:space="preserve">(completed by the student)</w:t>
      </w:r>
    </w:p>
    <w:p>
      <w:pPr>
        <w:spacing w:after="160" w:line="276"/>
      </w:pPr>
      <w:r>
        <w:rPr>
          <w:color w:val="4D4C48"/>
        </w:rPr>
        <w:t xml:space="preserve">Record things you have genuinely done. Be specific — names, dates, and what you actually did matter more than how it sounds.</w:t>
      </w:r>
    </w:p>
    <w:p>
      <w:pPr>
        <w:spacing w:after="160" w:line="276"/>
      </w:pPr>
      <w:r>
        <w:rPr>
          <w:b/>
          <w:bCs/>
          <w:color w:val="4D4C48"/>
        </w:rPr>
        <w:t xml:space="preserve">Wider reading / lectures / online courses / projects / EPQ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What: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When: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What you took from it (one honest sentence):</w:t>
      </w:r>
    </w:p>
    <w:p>
      <w:pPr>
        <w:spacing w:after="160" w:line="276"/>
      </w:pPr>
      <w:r>
        <w:rPr>
          <w:b/>
          <w:bCs/>
          <w:color w:val="4D4C48"/>
        </w:rPr>
        <w:t xml:space="preserve">Work experience / volunteering / employment / placements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What: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When: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What you took from it:</w:t>
      </w:r>
    </w:p>
    <w:p>
      <w:pPr>
        <w:spacing w:after="160" w:line="276"/>
      </w:pPr>
      <w:r>
        <w:rPr>
          <w:b/>
          <w:bCs/>
          <w:color w:val="4D4C48"/>
        </w:rPr>
        <w:t xml:space="preserve">Leadership / responsibilities / clubs / mentoring / community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What: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When: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What you took from it: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Section D — Context the reference writer should know</w:t>
      </w:r>
    </w:p>
    <w:p>
      <w:pPr>
        <w:spacing w:after="160" w:line="276"/>
      </w:pPr>
      <w:r>
        <w:rPr>
          <w:color w:val="4D4C48"/>
        </w:rPr>
        <w:t xml:space="preserve">Use this for anything that helps the writer give a fair, rounded picture. Keep safeguarding and highly sensitive matters out of this form — flag them to the named staff member instead.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Relevant circumstances affecting studies (illness, caring responsibilities, disruption):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Trajectory or improvement worth noting: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Anything the student is modest about that staff have observed: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Section E — Reference writer notes </w:t>
      </w:r>
      <w:r>
        <w:rPr>
          <w:i/>
          <w:iCs/>
          <w:color w:val="141413"/>
        </w:rPr>
        <w:t xml:space="preserve">(staff only)</w:t>
      </w:r>
    </w:p>
    <w:p>
      <w:pPr>
        <w:spacing w:after="160" w:line="276"/>
      </w:pPr>
      <w:r>
        <w:rPr>
          <w:color w:val="4D4C48"/>
        </w:rPr>
        <w:t xml:space="preserve">This is where evidence becomes judgement. The writer owns every line of the final reference.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Most relevant </w:t>
      </w:r>
      <w:r>
        <w:rPr>
          <w:b/>
          <w:bCs/>
          <w:color w:val="4D4C48"/>
        </w:rPr>
        <w:t xml:space="preserve">academic</w:t>
      </w:r>
      <w:r>
        <w:rPr>
          <w:color w:val="4D4C48"/>
        </w:rPr>
        <w:t xml:space="preserve"> qualities to evidence: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Most relevant </w:t>
      </w:r>
      <w:r>
        <w:rPr>
          <w:b/>
          <w:bCs/>
          <w:color w:val="4D4C48"/>
        </w:rPr>
        <w:t xml:space="preserve">personal</w:t>
      </w:r>
      <w:r>
        <w:rPr>
          <w:color w:val="4D4C48"/>
        </w:rPr>
        <w:t xml:space="preserve"> qualities to evidence: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Claims to verify before use: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Anything that should </w:t>
      </w:r>
      <w:r>
        <w:rPr>
          <w:b/>
          <w:bCs/>
          <w:color w:val="4D4C48"/>
        </w:rPr>
        <w:t xml:space="preserve">not</w:t>
      </w:r>
      <w:r>
        <w:rPr>
          <w:color w:val="4D4C48"/>
        </w:rPr>
        <w:t xml:space="preserve"> be used publicly, or needs careful handling: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Final reviewer / sign-off owner: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Date finalised: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A note on what stays human</w:t>
      </w:r>
    </w:p>
    <w:p>
      <w:pPr>
        <w:spacing w:after="160" w:line="276"/>
      </w:pPr>
      <w:r>
        <w:rPr>
          <w:color w:val="4D4C48"/>
        </w:rPr>
        <w:t xml:space="preserve">The reference is the school's professional view of a student. That judgement does not move to a tool or to the student. This form exists to make sure the person writing the reference has accurate, specific material to draw on — so the finished reference is grounded in what the student has genuinely done, and the school can stand behind every word.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2"/>
        <w:spacing w:after="120" w:before="200"/>
      </w:pPr>
      <w:r>
        <w:rPr>
          <w:color w:val="141413"/>
        </w:rPr>
        <w:t xml:space="preserve">About this form</w:t>
      </w:r>
    </w:p>
    <w:p>
      <w:pPr>
        <w:spacing w:after="160" w:line="276"/>
      </w:pPr>
      <w:r>
        <w:rPr>
          <w:color w:val="4D4C48"/>
        </w:rPr>
        <w:t xml:space="preserve">Provided free by </w:t>
      </w:r>
      <w:r>
        <w:rPr>
          <w:b/>
          <w:bCs/>
          <w:color w:val="4D4C48"/>
        </w:rPr>
        <w:t xml:space="preserve">Outleap</w:t>
      </w:r>
      <w:r>
        <w:rPr>
          <w:color w:val="4D4C48"/>
        </w:rPr>
        <w:t xml:space="preserve">, which builds school-led software for UCAS, references, feedback, and progression — including an evidence bank that captures this material as students go, so the reference writer is not starting from a blank page. Schools are welcome to adapt this form and use it under their own name.</w:t>
      </w:r>
    </w:p>
    <w:sectPr>
      <w:pgSz w:w="11906" w:h="16838" w:orient="portrait"/>
      <w:pgMar w:top="1130" w:right="1130" w:bottom="1130" w:left="11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Outleap resource</dc:title>
  <dc:creator>Outleap</dc:creator>
  <cp:lastModifiedBy>Un-named</cp:lastModifiedBy>
  <cp:revision>1</cp:revision>
  <dcterms:created xsi:type="dcterms:W3CDTF">2026-06-19T12:41:37.292Z</dcterms:created>
  <dcterms:modified xsi:type="dcterms:W3CDTF">2026-06-19T12:41:37.292Z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