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before="280"/>
      </w:pPr>
      <w:r>
        <w:rPr>
          <w:color w:val="0F0F0D"/>
        </w:rPr>
        <w:t xml:space="preserve">Outleap Data Processing Agreement (School Template)</w:t>
      </w:r>
    </w:p>
    <w:p>
      <w:pPr>
        <w:spacing w:after="160" w:line="276"/>
      </w:pPr>
      <w:r>
        <w:rPr>
          <w:color w:val="55554F"/>
        </w:rPr>
        <w:t xml:space="preserve">Status: Approved baseline template for contracting. School-specific fields and legal review are still required before signature.</w:t>
      </w:r>
    </w:p>
    <w:p>
      <w:pPr>
        <w:pStyle w:val="Heading1"/>
        <w:spacing w:after="120" w:before="280"/>
      </w:pPr>
      <w:r>
        <w:rPr>
          <w:color w:val="0F0F0D"/>
        </w:rPr>
        <w:t xml:space="preserve">1. Parties</w:t>
      </w:r>
    </w:p>
    <w:p>
      <w:pPr>
        <w:pStyle w:val="ListParagraph"/>
        <w:numPr>
          <w:ilvl w:val="0"/>
          <w:numId w:val="1"/>
        </w:numPr>
        <w:spacing w:after="60" w:line="264"/>
      </w:pPr>
      <w:r>
        <w:rPr>
          <w:b/>
          <w:bCs/>
          <w:color w:val="55554F"/>
        </w:rPr>
        <w:t xml:space="preserve">Controller (School):</w:t>
      </w:r>
      <w:r>
        <w:rPr>
          <w:color w:val="55554F"/>
        </w:rPr>
        <w:t xml:space="preserve"> </w:t>
      </w:r>
      <w:r>
        <w:rPr>
          <w:color w:val="0F0F0D"/>
          <w:shd w:fill="FFD53D" w:color="auto" w:val="clear"/>
        </w:rPr>
        <w:t xml:space="preserve">[School legal entity name]</w:t>
      </w:r>
    </w:p>
    <w:p>
      <w:pPr>
        <w:pStyle w:val="ListParagraph"/>
        <w:numPr>
          <w:ilvl w:val="0"/>
          <w:numId w:val="1"/>
        </w:numPr>
        <w:spacing w:after="60" w:line="264"/>
      </w:pPr>
      <w:r>
        <w:rPr>
          <w:b/>
          <w:bCs/>
          <w:color w:val="55554F"/>
        </w:rPr>
        <w:t xml:space="preserve">Processor (Supplier):</w:t>
      </w:r>
      <w:r>
        <w:rPr>
          <w:color w:val="55554F"/>
        </w:rPr>
        <w:t xml:space="preserve"> </w:t>
      </w:r>
      <w:r>
        <w:rPr>
          <w:b/>
          <w:bCs/>
          <w:color w:val="55554F"/>
        </w:rPr>
        <w:t xml:space="preserve">Outleap Limited</w:t>
      </w:r>
      <w:r>
        <w:rPr>
          <w:color w:val="55554F"/>
        </w:rPr>
        <w:t xml:space="preserve"> (Company No. </w:t>
      </w:r>
      <w:r>
        <w:rPr>
          <w:b/>
          <w:bCs/>
          <w:color w:val="55554F"/>
        </w:rPr>
        <w:t xml:space="preserve">14277395</w:t>
      </w:r>
      <w:r>
        <w:rPr>
          <w:color w:val="55554F"/>
        </w:rPr>
        <w:t xml:space="preserve">), 3rd Floor, 86-90 Paul Street, London, England, EC2A 4NE</w:t>
      </w:r>
    </w:p>
    <w:p>
      <w:pPr>
        <w:pStyle w:val="ListParagraph"/>
        <w:numPr>
          <w:ilvl w:val="0"/>
          <w:numId w:val="1"/>
        </w:numPr>
        <w:spacing w:after="60" w:line="264"/>
      </w:pPr>
      <w:r>
        <w:rPr>
          <w:b/>
          <w:bCs/>
          <w:color w:val="55554F"/>
        </w:rPr>
        <w:t xml:space="preserve">ICO registration:</w:t>
      </w:r>
      <w:r>
        <w:rPr>
          <w:color w:val="55554F"/>
        </w:rPr>
        <w:t xml:space="preserve"> ZB393894</w:t>
      </w:r>
    </w:p>
    <w:p>
      <w:pPr>
        <w:pStyle w:val="ListParagraph"/>
        <w:numPr>
          <w:ilvl w:val="0"/>
          <w:numId w:val="1"/>
        </w:numPr>
        <w:spacing w:after="60" w:line="264"/>
      </w:pPr>
      <w:r>
        <w:rPr>
          <w:b/>
          <w:bCs/>
          <w:color w:val="55554F"/>
        </w:rPr>
        <w:t xml:space="preserve">Processor representative:</w:t>
      </w:r>
      <w:r>
        <w:rPr>
          <w:color w:val="55554F"/>
        </w:rPr>
        <w:t xml:space="preserve"> Jesse Merrigan (Director and named data protection contact, supported by Outleap's documented governance and review process). General/supplier, privacy and data-rights contact: </w:t>
      </w:r>
      <w:r>
        <w:rPr>
          <w:color w:val="0F0F0D"/>
          <w:u w:val="single"/>
        </w:rPr>
        <w:t xml:space="preserve">hello@outleap.io</w:t>
      </w:r>
    </w:p>
    <w:p>
      <w:pPr>
        <w:pStyle w:val="ListParagraph"/>
        <w:numPr>
          <w:ilvl w:val="0"/>
          <w:numId w:val="1"/>
        </w:numPr>
        <w:spacing w:after="60" w:line="264"/>
      </w:pPr>
      <w:r>
        <w:rPr>
          <w:b/>
          <w:bCs/>
          <w:color w:val="55554F"/>
        </w:rPr>
        <w:t xml:space="preserve">Effective date:</w:t>
      </w:r>
      <w:r>
        <w:rPr>
          <w:color w:val="55554F"/>
        </w:rPr>
        <w:t xml:space="preserve"> </w:t>
      </w:r>
      <w:r>
        <w:rPr>
          <w:color w:val="0F0F0D"/>
          <w:shd w:fill="FFD53D" w:color="auto" w:val="clear"/>
        </w:rPr>
        <w:t xml:space="preserve">[YYYY-MM-DD]</w:t>
      </w:r>
    </w:p>
    <w:p>
      <w:pPr>
        <w:pStyle w:val="Heading1"/>
        <w:spacing w:after="120" w:before="280"/>
      </w:pPr>
      <w:r>
        <w:rPr>
          <w:color w:val="0F0F0D"/>
        </w:rPr>
        <w:t xml:space="preserve">2. Services in Scope</w:t>
      </w:r>
    </w:p>
    <w:p>
      <w:pPr>
        <w:spacing w:after="160" w:line="276"/>
      </w:pPr>
      <w:r>
        <w:rPr>
          <w:color w:val="55554F"/>
        </w:rPr>
        <w:t xml:space="preserve">This DPA covers personal data processed by Outleap to provide the current first-school rollout of the Outleap destinations workflow. The processing in scope today comprises: the Evidence Bank, the UCAS three-question statement workflow, advisory AI feedback on statements visible to staff through normal product views, school oversight tools (cohort visibility, at-risk flags, and school setup metadata), and CV/application workspaces where enabled for the School's rollout. Automated safeguarding alert delivery, staff routing and review holds are not part of the service.</w:t>
      </w:r>
    </w:p>
    <w:p>
      <w:pPr>
        <w:pStyle w:val="Heading1"/>
        <w:spacing w:after="120" w:before="280"/>
      </w:pPr>
      <w:r>
        <w:rPr>
          <w:color w:val="0F0F0D"/>
        </w:rPr>
        <w:t xml:space="preserve">3. Roles and Instructions</w:t>
      </w:r>
    </w:p>
    <w:p>
      <w:pPr>
        <w:spacing w:after="60" w:line="264"/>
      </w:pPr>
      <w:r>
        <w:rPr>
          <w:color w:val="55554F"/>
        </w:rPr>
        <w:t xml:space="preserve">1. </w:t>
      </w:r>
      <w:r>
        <w:rPr>
          <w:color w:val="55554F"/>
        </w:rPr>
        <w:t xml:space="preserve">The School acts as Controller and determines the educational purpose and lawful basis for processing.</w:t>
      </w:r>
    </w:p>
    <w:p>
      <w:pPr>
        <w:spacing w:after="60" w:line="264"/>
      </w:pPr>
      <w:r>
        <w:rPr>
          <w:color w:val="55554F"/>
        </w:rPr>
        <w:t xml:space="preserve">2. </w:t>
      </w:r>
      <w:r>
        <w:rPr>
          <w:color w:val="55554F"/>
        </w:rPr>
        <w:t xml:space="preserve">Outleap acts as Processor and processes personal data only on the School's documented instructions, unless required by law.</w:t>
      </w:r>
    </w:p>
    <w:p>
      <w:pPr>
        <w:spacing w:after="60" w:line="264"/>
      </w:pPr>
      <w:r>
        <w:rPr>
          <w:color w:val="55554F"/>
        </w:rPr>
        <w:t xml:space="preserve">3. </w:t>
      </w:r>
      <w:r>
        <w:rPr>
          <w:color w:val="55554F"/>
        </w:rPr>
        <w:t xml:space="preserve">Outleap will promptly notify the School if an instruction appears to conflict with UK GDPR obligations.</w:t>
      </w:r>
    </w:p>
    <w:p>
      <w:pPr>
        <w:pStyle w:val="Heading1"/>
        <w:spacing w:after="120" w:before="280"/>
      </w:pPr>
      <w:r>
        <w:rPr>
          <w:color w:val="0F0F0D"/>
        </w:rPr>
        <w:t xml:space="preserve">4. Categories of Data and Data Subjects</w:t>
      </w:r>
    </w:p>
    <w:p>
      <w:pPr>
        <w:pStyle w:val="ListParagraph"/>
        <w:numPr>
          <w:ilvl w:val="0"/>
          <w:numId w:val="1"/>
        </w:numPr>
        <w:spacing w:after="60" w:line="264"/>
      </w:pPr>
      <w:r>
        <w:rPr>
          <w:b/>
          <w:bCs/>
          <w:color w:val="55554F"/>
        </w:rPr>
        <w:t xml:space="preserve">Data subjects:</w:t>
      </w:r>
      <w:r>
        <w:rPr>
          <w:color w:val="55554F"/>
        </w:rPr>
        <w:t xml:space="preserve"> students, teachers, school administrators.</w:t>
      </w:r>
    </w:p>
    <w:p>
      <w:pPr>
        <w:pStyle w:val="ListParagraph"/>
        <w:numPr>
          <w:ilvl w:val="0"/>
          <w:numId w:val="1"/>
        </w:numPr>
        <w:spacing w:after="60" w:line="264"/>
      </w:pPr>
      <w:r>
        <w:rPr>
          <w:b/>
          <w:bCs/>
          <w:color w:val="55554F"/>
        </w:rPr>
        <w:t xml:space="preserve">Core identifiers:</w:t>
      </w:r>
      <w:r>
        <w:rPr>
          <w:color w:val="55554F"/>
        </w:rPr>
        <w:t xml:space="preserve"> name, school email address, user ID, school ID, role.</w:t>
      </w:r>
    </w:p>
    <w:p>
      <w:pPr>
        <w:pStyle w:val="ListParagraph"/>
        <w:numPr>
          <w:ilvl w:val="0"/>
          <w:numId w:val="1"/>
        </w:numPr>
        <w:spacing w:after="60" w:line="264"/>
      </w:pPr>
      <w:r>
        <w:rPr>
          <w:b/>
          <w:bCs/>
          <w:color w:val="55554F"/>
        </w:rPr>
        <w:t xml:space="preserve">Education workflow data:</w:t>
      </w:r>
      <w:r>
        <w:rPr>
          <w:color w:val="55554F"/>
        </w:rPr>
        <w:t xml:space="preserve"> evidence entries, statement draft text, submitted statement snapshots, feedback drafts and published feedback, submission status, and CV/application records where enabled for the School, including a first CV built from the student's own evidence at their request and suggested wording stored with feedback on a cover letter or an application answer.</w:t>
      </w:r>
    </w:p>
    <w:p>
      <w:pPr>
        <w:pStyle w:val="ListParagraph"/>
        <w:numPr>
          <w:ilvl w:val="0"/>
          <w:numId w:val="1"/>
        </w:numPr>
        <w:spacing w:after="60" w:line="264"/>
      </w:pPr>
      <w:r>
        <w:rPr>
          <w:b/>
          <w:bCs/>
          <w:color w:val="55554F"/>
        </w:rPr>
        <w:t xml:space="preserve">Operational metadata:</w:t>
      </w:r>
      <w:r>
        <w:rPr>
          <w:color w:val="55554F"/>
        </w:rPr>
        <w:t xml:space="preserve"> course progress, timestamps, audit events, role-based access events.</w:t>
      </w:r>
    </w:p>
    <w:p>
      <w:pPr>
        <w:pStyle w:val="ListParagraph"/>
        <w:numPr>
          <w:ilvl w:val="0"/>
          <w:numId w:val="1"/>
        </w:numPr>
        <w:spacing w:after="60" w:line="264"/>
      </w:pPr>
      <w:r>
        <w:rPr>
          <w:b/>
          <w:bCs/>
          <w:color w:val="55554F"/>
        </w:rPr>
        <w:t xml:space="preserve">Special category data:</w:t>
      </w:r>
      <w:r>
        <w:rPr>
          <w:color w:val="55554F"/>
        </w:rPr>
        <w:t xml:space="preserve"> may be processed where the School chooses to include extenuating-circumstances or other special category information in authorised workflows (for example contextual or welfare detail in a statement). Such processing remains under the School's instructions and is subject to role-scoped access, safeguarding controls, and the School's lawful basis and Article 9 condition.</w:t>
      </w:r>
    </w:p>
    <w:p>
      <w:pPr>
        <w:pStyle w:val="Heading1"/>
        <w:spacing w:after="120" w:before="280"/>
      </w:pPr>
      <w:r>
        <w:rPr>
          <w:color w:val="0F0F0D"/>
        </w:rPr>
        <w:t xml:space="preserve">5. Security and Confidentiality Controls</w:t>
      </w:r>
    </w:p>
    <w:p>
      <w:pPr>
        <w:spacing w:after="160" w:line="276"/>
      </w:pPr>
      <w:r>
        <w:rPr>
          <w:color w:val="55554F"/>
        </w:rPr>
        <w:t xml:space="preserve">Outleap applies technical and organisational measures appropriate to the service, including:</w:t>
      </w:r>
    </w:p>
    <w:p>
      <w:pPr>
        <w:pStyle w:val="ListParagraph"/>
        <w:numPr>
          <w:ilvl w:val="0"/>
          <w:numId w:val="1"/>
        </w:numPr>
        <w:spacing w:after="60" w:line="264"/>
      </w:pPr>
      <w:r>
        <w:rPr>
          <w:color w:val="55554F"/>
        </w:rPr>
        <w:t xml:space="preserve">Role-based access control and school-level tenant scoping.</w:t>
      </w:r>
    </w:p>
    <w:p>
      <w:pPr>
        <w:pStyle w:val="ListParagraph"/>
        <w:numPr>
          <w:ilvl w:val="0"/>
          <w:numId w:val="1"/>
        </w:numPr>
        <w:spacing w:after="60" w:line="264"/>
      </w:pPr>
      <w:r>
        <w:rPr>
          <w:color w:val="55554F"/>
        </w:rPr>
        <w:t xml:space="preserve">Authentication controls using Firebase Authentication.</w:t>
      </w:r>
    </w:p>
    <w:p>
      <w:pPr>
        <w:pStyle w:val="ListParagraph"/>
        <w:numPr>
          <w:ilvl w:val="0"/>
          <w:numId w:val="1"/>
        </w:numPr>
        <w:spacing w:after="60" w:line="264"/>
      </w:pPr>
      <w:r>
        <w:rPr>
          <w:color w:val="55554F"/>
        </w:rPr>
        <w:t xml:space="preserve">Encryption in transit (HTTPS/TLS) and encryption at rest on managed cloud services.</w:t>
      </w:r>
    </w:p>
    <w:p>
      <w:pPr>
        <w:pStyle w:val="ListParagraph"/>
        <w:numPr>
          <w:ilvl w:val="0"/>
          <w:numId w:val="1"/>
        </w:numPr>
        <w:spacing w:after="60" w:line="264"/>
      </w:pPr>
      <w:r>
        <w:rPr>
          <w:color w:val="55554F"/>
        </w:rPr>
        <w:t xml:space="preserve">Audit logging for administrative and operational actions.</w:t>
      </w:r>
    </w:p>
    <w:p>
      <w:pPr>
        <w:pStyle w:val="ListParagraph"/>
        <w:numPr>
          <w:ilvl w:val="0"/>
          <w:numId w:val="1"/>
        </w:numPr>
        <w:spacing w:after="60" w:line="264"/>
      </w:pPr>
      <w:r>
        <w:rPr>
          <w:color w:val="55554F"/>
        </w:rPr>
        <w:t xml:space="preserve">Logging policy to avoid student statement text and AI output content in application logs.</w:t>
      </w:r>
    </w:p>
    <w:p>
      <w:pPr>
        <w:pStyle w:val="ListParagraph"/>
        <w:numPr>
          <w:ilvl w:val="0"/>
          <w:numId w:val="1"/>
        </w:numPr>
        <w:spacing w:after="60" w:line="264"/>
      </w:pPr>
      <w:r>
        <w:rPr>
          <w:color w:val="55554F"/>
        </w:rPr>
        <w:t xml:space="preserve">Least-privilege access for runtime service accounts and infrastructure components.</w:t>
      </w:r>
    </w:p>
    <w:p>
      <w:pPr>
        <w:spacing w:after="160" w:line="276"/>
      </w:pPr>
      <w:r>
        <w:rPr>
          <w:color w:val="55554F"/>
        </w:rPr>
        <w:t xml:space="preserve">Personnel with access to personal data are bound by confidentiality obligations.</w:t>
      </w:r>
    </w:p>
    <w:p>
      <w:pPr>
        <w:pStyle w:val="Heading1"/>
        <w:spacing w:after="120" w:before="280"/>
      </w:pPr>
      <w:r>
        <w:rPr>
          <w:color w:val="0F0F0D"/>
        </w:rPr>
        <w:t xml:space="preserve">6. Subprocessors (Current/Planned)</w:t>
      </w:r>
    </w:p>
    <w:p>
      <w:pPr>
        <w:spacing w:after="160" w:line="276"/>
      </w:pPr>
      <w:r>
        <w:rPr>
          <w:color w:val="55554F"/>
        </w:rPr>
        <w:t xml:space="preserve">Outleap uses the following subprocessors for platform delivery.</w:t>
      </w:r>
    </w:p>
    <w:tbl>
      <w:tblPr>
        <w:tblW w:type="pct" w:w="100%"/>
        <w:tblBorders>
          <w:top w:val="single" w:color="C9C9C1" w:sz="4"/>
          <w:left w:val="single" w:color="C9C9C1" w:sz="4"/>
          <w:bottom w:val="single" w:color="C9C9C1" w:sz="4"/>
          <w:right w:val="single" w:color="C9C9C1" w:sz="4"/>
          <w:insideH w:val="single" w:color="C9C9C1" w:sz="4"/>
          <w:insideV w:val="single" w:color="C9C9C1" w:sz="4"/>
        </w:tblBorders>
      </w:tblPr>
      <w:tblGrid>
        <w:gridCol w:w="100"/>
        <w:gridCol w:w="100"/>
        <w:gridCol w:w="100"/>
        <w:gridCol w:w="100"/>
      </w:tblGrid>
      <w:tr>
        <w:trPr>
          <w:tblHeader/>
        </w:trPr>
        <w:tc>
          <w:tcPr>
            <w:shd w:fill="F3F3EE"/>
            <w:tcMar>
              <w:top w:type="dxa" w:w="60"/>
              <w:left w:type="dxa" w:w="100"/>
              <w:bottom w:type="dxa" w:w="60"/>
              <w:right w:type="dxa" w:w="100"/>
            </w:tcMar>
          </w:tcPr>
          <w:p>
            <w:r>
              <w:rPr>
                <w:b/>
                <w:bCs/>
                <w:color w:val="0F0F0D"/>
              </w:rPr>
              <w:t xml:space="preserve">Subprocessor</w:t>
            </w:r>
          </w:p>
        </w:tc>
        <w:tc>
          <w:tcPr>
            <w:shd w:fill="F3F3EE"/>
            <w:tcMar>
              <w:top w:type="dxa" w:w="60"/>
              <w:left w:type="dxa" w:w="100"/>
              <w:bottom w:type="dxa" w:w="60"/>
              <w:right w:type="dxa" w:w="100"/>
            </w:tcMar>
          </w:tcPr>
          <w:p>
            <w:r>
              <w:rPr>
                <w:b/>
                <w:bCs/>
                <w:color w:val="0F0F0D"/>
              </w:rPr>
              <w:t xml:space="preserve">Service purpose</w:t>
            </w:r>
          </w:p>
        </w:tc>
        <w:tc>
          <w:tcPr>
            <w:shd w:fill="F3F3EE"/>
            <w:tcMar>
              <w:top w:type="dxa" w:w="60"/>
              <w:left w:type="dxa" w:w="100"/>
              <w:bottom w:type="dxa" w:w="60"/>
              <w:right w:type="dxa" w:w="100"/>
            </w:tcMar>
          </w:tcPr>
          <w:p>
            <w:r>
              <w:rPr>
                <w:b/>
                <w:bCs/>
                <w:color w:val="0F0F0D"/>
              </w:rPr>
              <w:t xml:space="preserve">Typical data processed</w:t>
            </w:r>
          </w:p>
        </w:tc>
        <w:tc>
          <w:tcPr>
            <w:shd w:fill="F3F3EE"/>
            <w:tcMar>
              <w:top w:type="dxa" w:w="60"/>
              <w:left w:type="dxa" w:w="100"/>
              <w:bottom w:type="dxa" w:w="60"/>
              <w:right w:type="dxa" w:w="100"/>
            </w:tcMar>
          </w:tcPr>
          <w:p>
            <w:r>
              <w:rPr>
                <w:b/>
                <w:bCs/>
                <w:color w:val="0F0F0D"/>
              </w:rPr>
              <w:t xml:space="preserve">Hosting/processing location notes</w:t>
            </w:r>
          </w:p>
        </w:tc>
      </w:tr>
      <w:tr>
        <w:tc>
          <w:tcPr>
            <w:tcMar>
              <w:top w:type="dxa" w:w="60"/>
              <w:left w:type="dxa" w:w="100"/>
              <w:bottom w:type="dxa" w:w="60"/>
              <w:right w:type="dxa" w:w="100"/>
            </w:tcMar>
          </w:tcPr>
          <w:p>
            <w:r>
              <w:rPr>
                <w:color w:val="0F0F0D"/>
              </w:rPr>
              <w:t xml:space="preserve">Google Cloud / Firebase (Google)</w:t>
            </w:r>
          </w:p>
        </w:tc>
        <w:tc>
          <w:tcPr>
            <w:tcMar>
              <w:top w:type="dxa" w:w="60"/>
              <w:left w:type="dxa" w:w="100"/>
              <w:bottom w:type="dxa" w:w="60"/>
              <w:right w:type="dxa" w:w="100"/>
            </w:tcMar>
          </w:tcPr>
          <w:p>
            <w:r>
              <w:rPr>
                <w:color w:val="0F0F0D"/>
              </w:rPr>
              <w:t xml:space="preserve">Hosting, API runtime, auth, database, task queue, storage of platform records</w:t>
            </w:r>
          </w:p>
        </w:tc>
        <w:tc>
          <w:tcPr>
            <w:tcMar>
              <w:top w:type="dxa" w:w="60"/>
              <w:left w:type="dxa" w:w="100"/>
              <w:bottom w:type="dxa" w:w="60"/>
              <w:right w:type="dxa" w:w="100"/>
            </w:tcMar>
          </w:tcPr>
          <w:p>
            <w:r>
              <w:rPr>
                <w:color w:val="0F0F0D"/>
              </w:rPr>
              <w:t xml:space="preserve">Account data, workflow metadata, statement/feedback records, audit logs</w:t>
            </w:r>
          </w:p>
        </w:tc>
        <w:tc>
          <w:tcPr>
            <w:tcMar>
              <w:top w:type="dxa" w:w="60"/>
              <w:left w:type="dxa" w:w="100"/>
              <w:bottom w:type="dxa" w:w="60"/>
              <w:right w:type="dxa" w:w="100"/>
            </w:tcMar>
          </w:tcPr>
          <w:p>
            <w:r>
              <w:rPr>
                <w:color w:val="0F0F0D"/>
              </w:rPr>
              <w:t xml:space="preserve">Configured for UK/EU-oriented regions (</w:t>
            </w:r>
            <w:r>
              <w:rPr>
                <w:rFonts w:ascii="Consolas" w:cs="Consolas" w:eastAsia="Consolas" w:hAnsi="Consolas"/>
                <w:color w:val="0F0F0D"/>
              </w:rPr>
              <w:t xml:space="preserve">europe-west2</w:t>
            </w:r>
            <w:r>
              <w:rPr>
                <w:color w:val="0F0F0D"/>
              </w:rPr>
              <w:t xml:space="preserve">, </w:t>
            </w:r>
            <w:r>
              <w:rPr>
                <w:rFonts w:ascii="Consolas" w:cs="Consolas" w:eastAsia="Consolas" w:hAnsi="Consolas"/>
                <w:color w:val="0F0F0D"/>
              </w:rPr>
              <w:t xml:space="preserve">europe-west4</w:t>
            </w:r>
            <w:r>
              <w:rPr>
                <w:color w:val="0F0F0D"/>
              </w:rPr>
              <w:t xml:space="preserve">) for core workloads</w:t>
            </w:r>
          </w:p>
        </w:tc>
      </w:tr>
      <w:tr>
        <w:tc>
          <w:tcPr>
            <w:tcMar>
              <w:top w:type="dxa" w:w="60"/>
              <w:left w:type="dxa" w:w="100"/>
              <w:bottom w:type="dxa" w:w="60"/>
              <w:right w:type="dxa" w:w="100"/>
            </w:tcMar>
          </w:tcPr>
          <w:p>
            <w:r>
              <w:rPr>
                <w:color w:val="0F0F0D"/>
              </w:rPr>
              <w:t xml:space="preserve">Vertex AI (Google)</w:t>
            </w:r>
          </w:p>
        </w:tc>
        <w:tc>
          <w:tcPr>
            <w:tcMar>
              <w:top w:type="dxa" w:w="60"/>
              <w:left w:type="dxa" w:w="100"/>
              <w:bottom w:type="dxa" w:w="60"/>
              <w:right w:type="dxa" w:w="100"/>
            </w:tcMar>
          </w:tcPr>
          <w:p>
            <w:r>
              <w:rPr>
                <w:color w:val="0F0F0D"/>
              </w:rPr>
              <w:t xml:space="preserve">AI feedback on students' own writing; on a student's request, a first CV built from their own evidence or a reworded CV point; sorting a note into a piece of evidence; and, where enabled, reading a course page, an advert or a link</w:t>
            </w:r>
          </w:p>
        </w:tc>
        <w:tc>
          <w:tcPr>
            <w:tcMar>
              <w:top w:type="dxa" w:w="60"/>
              <w:left w:type="dxa" w:w="100"/>
              <w:bottom w:type="dxa" w:w="60"/>
              <w:right w:type="dxa" w:w="100"/>
            </w:tcMar>
          </w:tcPr>
          <w:p>
            <w:r>
              <w:rPr>
                <w:color w:val="0F0F0D"/>
              </w:rPr>
              <w:t xml:space="preserve">Relevant student-provided content, or the page or advert being read, and the minimum workflow context needed to provide the requested support</w:t>
            </w:r>
          </w:p>
        </w:tc>
        <w:tc>
          <w:tcPr>
            <w:tcMar>
              <w:top w:type="dxa" w:w="60"/>
              <w:left w:type="dxa" w:w="100"/>
              <w:bottom w:type="dxa" w:w="60"/>
              <w:right w:type="dxa" w:w="100"/>
            </w:tcMar>
          </w:tcPr>
          <w:p>
            <w:r>
              <w:rPr>
                <w:color w:val="0F0F0D"/>
              </w:rPr>
              <w:t xml:space="preserve">UK/EU Google Cloud regions</w:t>
            </w:r>
          </w:p>
        </w:tc>
      </w:tr>
      <w:tr>
        <w:tc>
          <w:tcPr>
            <w:tcMar>
              <w:top w:type="dxa" w:w="60"/>
              <w:left w:type="dxa" w:w="100"/>
              <w:bottom w:type="dxa" w:w="60"/>
              <w:right w:type="dxa" w:w="100"/>
            </w:tcMar>
          </w:tcPr>
          <w:p>
            <w:r>
              <w:rPr>
                <w:color w:val="0F0F0D"/>
              </w:rPr>
              <w:t xml:space="preserve">Amazon Web Services (Amazon Bedrock)</w:t>
            </w:r>
          </w:p>
        </w:tc>
        <w:tc>
          <w:tcPr>
            <w:tcMar>
              <w:top w:type="dxa" w:w="60"/>
              <w:left w:type="dxa" w:w="100"/>
              <w:bottom w:type="dxa" w:w="60"/>
              <w:right w:type="dxa" w:w="100"/>
            </w:tcMar>
          </w:tcPr>
          <w:p>
            <w:r>
              <w:rPr>
                <w:color w:val="0F0F0D"/>
              </w:rPr>
              <w:t xml:space="preserve">AI feedback on students' UCAS personal statements, where Outleap routes that feedback to it</w:t>
            </w:r>
          </w:p>
        </w:tc>
        <w:tc>
          <w:tcPr>
            <w:tcMar>
              <w:top w:type="dxa" w:w="60"/>
              <w:left w:type="dxa" w:w="100"/>
              <w:bottom w:type="dxa" w:w="60"/>
              <w:right w:type="dxa" w:w="100"/>
            </w:tcMar>
          </w:tcPr>
          <w:p>
            <w:r>
              <w:rPr>
                <w:color w:val="0F0F0D"/>
              </w:rPr>
              <w:t xml:space="preserve">The statement and the minimum workflow context needed to provide the feedback</w:t>
            </w:r>
          </w:p>
        </w:tc>
        <w:tc>
          <w:tcPr>
            <w:tcMar>
              <w:top w:type="dxa" w:w="60"/>
              <w:left w:type="dxa" w:w="100"/>
              <w:bottom w:type="dxa" w:w="60"/>
              <w:right w:type="dxa" w:w="100"/>
            </w:tcMar>
          </w:tcPr>
          <w:p>
            <w:r>
              <w:rPr>
                <w:color w:val="0F0F0D"/>
              </w:rPr>
              <w:t xml:space="preserve">Supported EU AWS regions</w:t>
            </w:r>
          </w:p>
        </w:tc>
      </w:tr>
      <w:tr>
        <w:tc>
          <w:tcPr>
            <w:tcMar>
              <w:top w:type="dxa" w:w="60"/>
              <w:left w:type="dxa" w:w="100"/>
              <w:bottom w:type="dxa" w:w="60"/>
              <w:right w:type="dxa" w:w="100"/>
            </w:tcMar>
          </w:tcPr>
          <w:p>
            <w:r>
              <w:rPr>
                <w:color w:val="0F0F0D"/>
              </w:rPr>
              <w:t xml:space="preserve">Postmark (designated transactional email provider)</w:t>
            </w:r>
          </w:p>
        </w:tc>
        <w:tc>
          <w:tcPr>
            <w:tcMar>
              <w:top w:type="dxa" w:w="60"/>
              <w:left w:type="dxa" w:w="100"/>
              <w:bottom w:type="dxa" w:w="60"/>
              <w:right w:type="dxa" w:w="100"/>
            </w:tcMar>
          </w:tcPr>
          <w:p>
            <w:r>
              <w:rPr>
                <w:color w:val="0F0F0D"/>
              </w:rPr>
              <w:t xml:space="preserve">Transactional email delivery (login links, reminders, notifications)</w:t>
            </w:r>
          </w:p>
        </w:tc>
        <w:tc>
          <w:tcPr>
            <w:tcMar>
              <w:top w:type="dxa" w:w="60"/>
              <w:left w:type="dxa" w:w="100"/>
              <w:bottom w:type="dxa" w:w="60"/>
              <w:right w:type="dxa" w:w="100"/>
            </w:tcMar>
          </w:tcPr>
          <w:p>
            <w:r>
              <w:rPr>
                <w:color w:val="0F0F0D"/>
              </w:rPr>
              <w:t xml:space="preserve">Recipient email address, message metadata, delivery events</w:t>
            </w:r>
          </w:p>
        </w:tc>
        <w:tc>
          <w:tcPr>
            <w:tcMar>
              <w:top w:type="dxa" w:w="60"/>
              <w:left w:type="dxa" w:w="100"/>
              <w:bottom w:type="dxa" w:w="60"/>
              <w:right w:type="dxa" w:w="100"/>
            </w:tcMar>
          </w:tcPr>
          <w:p>
            <w:r>
              <w:rPr>
                <w:color w:val="0F0F0D"/>
              </w:rPr>
              <w:t xml:space="preserve">US-based provider; transfer safeguards (UK IDTA or UK Addendum to SCCs) apply, to be confirmed in signed contract schedule</w:t>
            </w:r>
          </w:p>
        </w:tc>
      </w:tr>
    </w:tbl>
    <w:p>
      <w:pPr>
        <w:spacing w:after="120"/>
      </w:pPr>
    </w:p>
    <w:p>
      <w:pPr>
        <w:spacing w:after="160" w:line="276"/>
      </w:pPr>
      <w:r>
        <w:rPr>
          <w:color w:val="55554F"/>
        </w:rPr>
        <w:t xml:space="preserve">Outleap remains responsible for subprocessor compliance and will maintain an
up-to-date subprocessor list for customers. The current list and data-flow
description form part of the trust pack.</w:t>
      </w:r>
    </w:p>
    <w:p>
      <w:pPr>
        <w:pStyle w:val="Heading1"/>
        <w:spacing w:after="120" w:before="280"/>
      </w:pPr>
      <w:r>
        <w:rPr>
          <w:color w:val="0F0F0D"/>
        </w:rPr>
        <w:t xml:space="preserve">7. International Transfers</w:t>
      </w:r>
    </w:p>
    <w:p>
      <w:pPr>
        <w:spacing w:after="160" w:line="276"/>
      </w:pPr>
      <w:r>
        <w:rPr>
          <w:color w:val="55554F"/>
        </w:rPr>
        <w:t xml:space="preserve">Outleap aims to keep customer workloads in UK/EU-hosted infrastructure. Some
service providers may process personal data in EU regions outside the UK. The
signed contract schedule must record the applicable UK adequacy basis or other
appropriate safeguard. If personal data is transferred elsewhere outside the
UK, Outleap will use an appropriate transfer mechanism (for example a UK IDTA
or UK Addendum to SCCs) and provide supporting documentation on request.</w:t>
      </w:r>
    </w:p>
    <w:p>
      <w:pPr>
        <w:pStyle w:val="Heading1"/>
        <w:spacing w:after="120" w:before="280"/>
      </w:pPr>
      <w:r>
        <w:rPr>
          <w:color w:val="0F0F0D"/>
        </w:rPr>
        <w:t xml:space="preserve">8. Data Subject Rights Support</w:t>
      </w:r>
    </w:p>
    <w:p>
      <w:pPr>
        <w:spacing w:after="160" w:line="276"/>
      </w:pPr>
      <w:r>
        <w:rPr>
          <w:color w:val="55554F"/>
        </w:rPr>
        <w:t xml:space="preserve">Outleap will provide reasonable assistance to the School in responding to data subject rights requests (access, rectification, erasure, restriction, portability, objection), subject to identity and role verification.</w:t>
      </w:r>
    </w:p>
    <w:p>
      <w:pPr>
        <w:pStyle w:val="Heading1"/>
        <w:spacing w:after="120" w:before="280"/>
      </w:pPr>
      <w:r>
        <w:rPr>
          <w:color w:val="0F0F0D"/>
        </w:rPr>
        <w:t xml:space="preserve">9. Personal Data Breach Process</w:t>
      </w:r>
    </w:p>
    <w:p>
      <w:pPr>
        <w:spacing w:after="160" w:line="276"/>
      </w:pPr>
      <w:r>
        <w:rPr>
          <w:color w:val="55554F"/>
        </w:rPr>
        <w:t xml:space="preserve">Outleap will notify the School without undue delay, and in any event within 72 hours of confirming a personal data breach affecting School data, and provide known details on:</w:t>
      </w:r>
    </w:p>
    <w:p>
      <w:pPr>
        <w:pStyle w:val="ListParagraph"/>
        <w:numPr>
          <w:ilvl w:val="0"/>
          <w:numId w:val="1"/>
        </w:numPr>
        <w:spacing w:after="60" w:line="264"/>
      </w:pPr>
      <w:r>
        <w:rPr>
          <w:color w:val="55554F"/>
        </w:rPr>
        <w:t xml:space="preserve">nature and likely impact,</w:t>
      </w:r>
    </w:p>
    <w:p>
      <w:pPr>
        <w:pStyle w:val="ListParagraph"/>
        <w:numPr>
          <w:ilvl w:val="0"/>
          <w:numId w:val="1"/>
        </w:numPr>
        <w:spacing w:after="60" w:line="264"/>
      </w:pPr>
      <w:r>
        <w:rPr>
          <w:color w:val="55554F"/>
        </w:rPr>
        <w:t xml:space="preserve">categories/approximate volume affected,</w:t>
      </w:r>
    </w:p>
    <w:p>
      <w:pPr>
        <w:pStyle w:val="ListParagraph"/>
        <w:numPr>
          <w:ilvl w:val="0"/>
          <w:numId w:val="1"/>
        </w:numPr>
        <w:spacing w:after="60" w:line="264"/>
      </w:pPr>
      <w:r>
        <w:rPr>
          <w:color w:val="55554F"/>
        </w:rPr>
        <w:t xml:space="preserve">containment and remediation steps,</w:t>
      </w:r>
    </w:p>
    <w:p>
      <w:pPr>
        <w:pStyle w:val="ListParagraph"/>
        <w:numPr>
          <w:ilvl w:val="0"/>
          <w:numId w:val="1"/>
        </w:numPr>
        <w:spacing w:after="60" w:line="264"/>
      </w:pPr>
      <w:r>
        <w:rPr>
          <w:color w:val="55554F"/>
        </w:rPr>
        <w:t xml:space="preserve">ongoing update cadence.</w:t>
      </w:r>
    </w:p>
    <w:p>
      <w:pPr>
        <w:pStyle w:val="Heading1"/>
        <w:spacing w:after="120" w:before="280"/>
      </w:pPr>
      <w:r>
        <w:rPr>
          <w:color w:val="0F0F0D"/>
        </w:rPr>
        <w:t xml:space="preserve">10. Retention and Deletion</w:t>
      </w:r>
    </w:p>
    <w:p>
      <w:pPr>
        <w:spacing w:after="160" w:line="276"/>
      </w:pPr>
      <w:r>
        <w:rPr>
          <w:color w:val="55554F"/>
        </w:rPr>
        <w:t xml:space="preserve">Retention periods and deletion controls are defined in the approved retention schedule (see </w:t>
      </w:r>
      <w:r>
        <w:rPr>
          <w:rFonts w:ascii="Consolas" w:cs="Consolas" w:eastAsia="Consolas" w:hAnsi="Consolas"/>
          <w:color w:val="55554F"/>
        </w:rPr>
        <w:t xml:space="preserve">data-retention-policy-template.md</w:t>
      </w:r>
      <w:r>
        <w:rPr>
          <w:color w:val="55554F"/>
        </w:rPr>
        <w:t xml:space="preserve">). On contract termination, Outleap will support data export/handover and then delete or return personal data, except where legal obligations require retention.</w:t>
      </w:r>
    </w:p>
    <w:p>
      <w:pPr>
        <w:pStyle w:val="Heading1"/>
        <w:spacing w:after="120" w:before="280"/>
      </w:pPr>
      <w:r>
        <w:rPr>
          <w:color w:val="0F0F0D"/>
        </w:rPr>
        <w:t xml:space="preserve">11. Audit and Assurance</w:t>
      </w:r>
    </w:p>
    <w:p>
      <w:pPr>
        <w:spacing w:after="160" w:line="276"/>
      </w:pPr>
      <w:r>
        <w:rPr>
          <w:color w:val="55554F"/>
        </w:rPr>
        <w:t xml:space="preserve">On reasonable notice, Outleap will provide information needed to demonstrate compliance with this DPA, including policy documentation and control evidence appropriate to the service risk profile.</w:t>
      </w:r>
    </w:p>
    <w:p>
      <w:pPr>
        <w:pStyle w:val="Heading1"/>
        <w:spacing w:after="120" w:before="280"/>
      </w:pPr>
      <w:r>
        <w:rPr>
          <w:color w:val="0F0F0D"/>
        </w:rPr>
        <w:t xml:space="preserve">12. Annex A: Processing Details</w:t>
      </w:r>
    </w:p>
    <w:p>
      <w:pPr>
        <w:pStyle w:val="ListParagraph"/>
        <w:numPr>
          <w:ilvl w:val="0"/>
          <w:numId w:val="1"/>
        </w:numPr>
        <w:spacing w:after="60" w:line="264"/>
      </w:pPr>
      <w:r>
        <w:rPr>
          <w:b/>
          <w:bCs/>
          <w:color w:val="55554F"/>
        </w:rPr>
        <w:t xml:space="preserve">Subject matter:</w:t>
      </w:r>
      <w:r>
        <w:rPr>
          <w:color w:val="55554F"/>
        </w:rPr>
        <w:t xml:space="preserve"> operation of the current first-school rollout of the Outleap destinations workflow.</w:t>
      </w:r>
    </w:p>
    <w:p>
      <w:pPr>
        <w:pStyle w:val="ListParagraph"/>
        <w:numPr>
          <w:ilvl w:val="0"/>
          <w:numId w:val="1"/>
        </w:numPr>
        <w:spacing w:after="60" w:line="264"/>
      </w:pPr>
      <w:r>
        <w:rPr>
          <w:b/>
          <w:bCs/>
          <w:color w:val="55554F"/>
        </w:rPr>
        <w:t xml:space="preserve">Nature of processing:</w:t>
      </w:r>
      <w:r>
        <w:rPr>
          <w:color w:val="55554F"/>
        </w:rPr>
        <w:t xml:space="preserve"> collection, storage, access control, role-scoped display, advisory AI feedback on students' own writing and its delivery, AI drafting support on a student's request (a first CV built from their own evidence, or a reworded CV point), sorting a student's note into a piece of evidence, reading a course page, an advert or a link where enabled, reminder/notification operations, operational support handoff where required, and CV/application workspaces where enabled for the School.</w:t>
      </w:r>
    </w:p>
    <w:p>
      <w:pPr>
        <w:pStyle w:val="ListParagraph"/>
        <w:numPr>
          <w:ilvl w:val="0"/>
          <w:numId w:val="1"/>
        </w:numPr>
        <w:spacing w:after="60" w:line="264"/>
      </w:pPr>
      <w:r>
        <w:rPr>
          <w:b/>
          <w:bCs/>
          <w:color w:val="55554F"/>
        </w:rPr>
        <w:t xml:space="preserve">Purpose:</w:t>
      </w:r>
      <w:r>
        <w:rPr>
          <w:color w:val="55554F"/>
        </w:rPr>
        <w:t xml:space="preserve"> support school-led evidence capture, students' own drafting of their UCAS three-question statements, advisory AI feedback on statements visible to staff, CV/application support where enabled, and cohort progress management.</w:t>
      </w:r>
    </w:p>
    <w:p>
      <w:pPr>
        <w:pStyle w:val="ListParagraph"/>
        <w:numPr>
          <w:ilvl w:val="0"/>
          <w:numId w:val="1"/>
        </w:numPr>
        <w:spacing w:after="60" w:line="264"/>
      </w:pPr>
      <w:r>
        <w:rPr>
          <w:b/>
          <w:bCs/>
          <w:color w:val="55554F"/>
        </w:rPr>
        <w:t xml:space="preserve">Duration:</w:t>
      </w:r>
      <w:r>
        <w:rPr>
          <w:color w:val="55554F"/>
        </w:rPr>
        <w:t xml:space="preserve"> for the term of the service agreement plus agreed retention/deletion windows.</w:t>
      </w:r>
    </w:p>
    <w:p>
      <w:pPr>
        <w:pStyle w:val="Heading1"/>
        <w:spacing w:after="120" w:before="280"/>
      </w:pPr>
      <w:r>
        <w:rPr>
          <w:color w:val="0F0F0D"/>
        </w:rPr>
        <w:t xml:space="preserve">13. Annex B: Contact Points</w:t>
      </w:r>
    </w:p>
    <w:p>
      <w:pPr>
        <w:pStyle w:val="ListParagraph"/>
        <w:numPr>
          <w:ilvl w:val="0"/>
          <w:numId w:val="1"/>
        </w:numPr>
        <w:spacing w:after="60" w:line="264"/>
      </w:pPr>
      <w:r>
        <w:rPr>
          <w:b/>
          <w:bCs/>
          <w:color w:val="55554F"/>
        </w:rPr>
        <w:t xml:space="preserve">School privacy contact:</w:t>
      </w:r>
      <w:r>
        <w:rPr>
          <w:color w:val="55554F"/>
        </w:rPr>
        <w:t xml:space="preserve"> </w:t>
      </w:r>
      <w:r>
        <w:rPr>
          <w:color w:val="0F0F0D"/>
          <w:shd w:fill="FFD53D" w:color="auto" w:val="clear"/>
        </w:rPr>
        <w:t xml:space="preserve">[Name, role, email]</w:t>
      </w:r>
    </w:p>
    <w:p>
      <w:pPr>
        <w:pStyle w:val="ListParagraph"/>
        <w:numPr>
          <w:ilvl w:val="0"/>
          <w:numId w:val="1"/>
        </w:numPr>
        <w:spacing w:after="60" w:line="264"/>
      </w:pPr>
      <w:r>
        <w:rPr>
          <w:b/>
          <w:bCs/>
          <w:color w:val="55554F"/>
        </w:rPr>
        <w:t xml:space="preserve">Outleap privacy contact:</w:t>
      </w:r>
      <w:r>
        <w:rPr>
          <w:color w:val="55554F"/>
        </w:rPr>
        <w:t xml:space="preserve"> Jesse Merrigan, Director, </w:t>
      </w:r>
      <w:r>
        <w:rPr>
          <w:color w:val="0F0F0D"/>
          <w:u w:val="single"/>
        </w:rPr>
        <w:t xml:space="preserve">hello@outleap.io</w:t>
      </w:r>
      <w:r>
        <w:rPr>
          <w:color w:val="55554F"/>
        </w:rPr>
        <w:t xml:space="preserve"> — supported by Outleap's documented data-protection governance and review process.</w:t>
      </w:r>
    </w:p>
    <w:p>
      <w:pPr>
        <w:pStyle w:val="ListParagraph"/>
        <w:numPr>
          <w:ilvl w:val="0"/>
          <w:numId w:val="1"/>
        </w:numPr>
        <w:spacing w:after="60" w:line="264"/>
      </w:pPr>
      <w:r>
        <w:rPr>
          <w:b/>
          <w:bCs/>
          <w:color w:val="55554F"/>
        </w:rPr>
        <w:t xml:space="preserve">Outleap general/supplier contact:</w:t>
      </w:r>
      <w:r>
        <w:rPr>
          <w:color w:val="55554F"/>
        </w:rPr>
        <w:t xml:space="preserve"> </w:t>
      </w:r>
      <w:r>
        <w:rPr>
          <w:color w:val="0F0F0D"/>
          <w:u w:val="single"/>
        </w:rPr>
        <w:t xml:space="preserve">hello@outleap.io</w:t>
      </w:r>
    </w:p>
    <w:p>
      <w:pPr>
        <w:pStyle w:val="ListParagraph"/>
        <w:numPr>
          <w:ilvl w:val="0"/>
          <w:numId w:val="1"/>
        </w:numPr>
        <w:spacing w:after="60" w:line="264"/>
      </w:pPr>
      <w:r>
        <w:rPr>
          <w:b/>
          <w:bCs/>
          <w:color w:val="55554F"/>
        </w:rPr>
        <w:t xml:space="preserve">Data Protection Officer:</w:t>
      </w:r>
      <w:r>
        <w:rPr>
          <w:color w:val="55554F"/>
        </w:rPr>
        <w:t xml:space="preserve"> Outleap has not appointed a statutory DPO. A DPO is not required under UK GDPR Article 37 given the scale of processing. The named data-protection contact is the Director.</w:t>
      </w:r>
    </w:p>
    <w:p>
      <w:pPr>
        <w:pStyle w:val="ListParagraph"/>
        <w:numPr>
          <w:ilvl w:val="0"/>
          <w:numId w:val="1"/>
        </w:numPr>
        <w:spacing w:after="60" w:line="264"/>
      </w:pPr>
      <w:r>
        <w:rPr>
          <w:b/>
          <w:bCs/>
          <w:color w:val="55554F"/>
        </w:rPr>
        <w:t xml:space="preserve">Breach notification email:</w:t>
      </w:r>
      <w:r>
        <w:rPr>
          <w:color w:val="55554F"/>
        </w:rPr>
        <w:t xml:space="preserve"> </w:t>
      </w:r>
      <w:r>
        <w:rPr>
          <w:color w:val="0F0F0D"/>
          <w:u w:val="single"/>
        </w:rPr>
        <w:t xml:space="preserve">hello@outleap.io</w:t>
      </w:r>
    </w:p>
    <w:p>
      <w:pPr>
        <w:pStyle w:val="Heading1"/>
        <w:spacing w:after="120" w:before="280"/>
      </w:pPr>
      <w:r>
        <w:rPr>
          <w:color w:val="0F0F0D"/>
        </w:rPr>
        <w:t xml:space="preserve">14. Signatures</w:t>
      </w:r>
    </w:p>
    <w:p>
      <w:pPr>
        <w:pStyle w:val="Heading2"/>
        <w:spacing w:after="120" w:before="200"/>
      </w:pPr>
      <w:r>
        <w:rPr>
          <w:color w:val="0F0F0D"/>
        </w:rPr>
        <w:t xml:space="preserve">School (Controller)</w:t>
      </w:r>
    </w:p>
    <w:p>
      <w:pPr>
        <w:pStyle w:val="ListParagraph"/>
        <w:numPr>
          <w:ilvl w:val="0"/>
          <w:numId w:val="1"/>
        </w:numPr>
        <w:spacing w:after="60" w:line="264"/>
      </w:pPr>
      <w:r>
        <w:rPr>
          <w:color w:val="55554F"/>
        </w:rPr>
        <w:t xml:space="preserve">Name: </w:t>
      </w:r>
      <w:r>
        <w:rPr>
          <w:color w:val="0F0F0D"/>
          <w:shd w:fill="FFD53D" w:color="auto" w:val="clear"/>
        </w:rPr>
        <w:t xml:space="preserve">[Name]</w:t>
      </w:r>
    </w:p>
    <w:p>
      <w:pPr>
        <w:pStyle w:val="ListParagraph"/>
        <w:numPr>
          <w:ilvl w:val="0"/>
          <w:numId w:val="1"/>
        </w:numPr>
        <w:spacing w:after="60" w:line="264"/>
      </w:pPr>
      <w:r>
        <w:rPr>
          <w:color w:val="55554F"/>
        </w:rPr>
        <w:t xml:space="preserve">Role: </w:t>
      </w:r>
      <w:r>
        <w:rPr>
          <w:color w:val="0F0F0D"/>
          <w:shd w:fill="FFD53D" w:color="auto" w:val="clear"/>
        </w:rPr>
        <w:t xml:space="preserve">[Role]</w:t>
      </w:r>
    </w:p>
    <w:p>
      <w:pPr>
        <w:pStyle w:val="ListParagraph"/>
        <w:numPr>
          <w:ilvl w:val="0"/>
          <w:numId w:val="1"/>
        </w:numPr>
        <w:spacing w:after="60" w:line="264"/>
      </w:pPr>
      <w:r>
        <w:rPr>
          <w:color w:val="55554F"/>
        </w:rPr>
        <w:t xml:space="preserve">Signature: </w:t>
      </w:r>
      <w:r>
        <w:rPr>
          <w:color w:val="0F0F0D"/>
          <w:shd w:fill="FFD53D" w:color="auto" w:val="clear"/>
        </w:rPr>
        <w:t xml:space="preserve">[Signature]</w:t>
      </w:r>
    </w:p>
    <w:p>
      <w:pPr>
        <w:pStyle w:val="ListParagraph"/>
        <w:numPr>
          <w:ilvl w:val="0"/>
          <w:numId w:val="1"/>
        </w:numPr>
        <w:spacing w:after="60" w:line="264"/>
      </w:pPr>
      <w:r>
        <w:rPr>
          <w:color w:val="55554F"/>
        </w:rPr>
        <w:t xml:space="preserve">Date: </w:t>
      </w:r>
      <w:r>
        <w:rPr>
          <w:color w:val="0F0F0D"/>
          <w:shd w:fill="FFD53D" w:color="auto" w:val="clear"/>
        </w:rPr>
        <w:t xml:space="preserve">[Date]</w:t>
      </w:r>
    </w:p>
    <w:p>
      <w:pPr>
        <w:pStyle w:val="Heading2"/>
        <w:spacing w:after="120" w:before="200"/>
      </w:pPr>
      <w:r>
        <w:rPr>
          <w:color w:val="0F0F0D"/>
        </w:rPr>
        <w:t xml:space="preserve">Outleap Limited (Processor)</w:t>
      </w:r>
    </w:p>
    <w:p>
      <w:pPr>
        <w:pStyle w:val="ListParagraph"/>
        <w:numPr>
          <w:ilvl w:val="0"/>
          <w:numId w:val="1"/>
        </w:numPr>
        <w:spacing w:after="60" w:line="264"/>
      </w:pPr>
      <w:r>
        <w:rPr>
          <w:color w:val="55554F"/>
        </w:rPr>
        <w:t xml:space="preserve">Name: Jesse Merrigan</w:t>
      </w:r>
    </w:p>
    <w:p>
      <w:pPr>
        <w:pStyle w:val="ListParagraph"/>
        <w:numPr>
          <w:ilvl w:val="0"/>
          <w:numId w:val="1"/>
        </w:numPr>
        <w:spacing w:after="60" w:line="264"/>
      </w:pPr>
      <w:r>
        <w:rPr>
          <w:color w:val="55554F"/>
        </w:rPr>
        <w:t xml:space="preserve">Role: Director</w:t>
      </w:r>
    </w:p>
    <w:p>
      <w:pPr>
        <w:pStyle w:val="ListParagraph"/>
        <w:numPr>
          <w:ilvl w:val="0"/>
          <w:numId w:val="1"/>
        </w:numPr>
        <w:spacing w:after="60" w:line="264"/>
      </w:pPr>
      <w:r>
        <w:rPr>
          <w:color w:val="55554F"/>
        </w:rPr>
        <w:t xml:space="preserve">Signature: </w:t>
      </w:r>
      <w:r>
        <w:rPr>
          <w:color w:val="0F0F0D"/>
          <w:shd w:fill="FFD53D" w:color="auto" w:val="clear"/>
        </w:rPr>
        <w:t xml:space="preserve">[Signature]</w:t>
      </w:r>
    </w:p>
    <w:p>
      <w:pPr>
        <w:pStyle w:val="ListParagraph"/>
        <w:numPr>
          <w:ilvl w:val="0"/>
          <w:numId w:val="1"/>
        </w:numPr>
        <w:spacing w:after="60" w:line="264"/>
      </w:pPr>
      <w:r>
        <w:rPr>
          <w:color w:val="55554F"/>
        </w:rPr>
        <w:t xml:space="preserve">Date: </w:t>
      </w:r>
      <w:r>
        <w:rPr>
          <w:color w:val="0F0F0D"/>
          <w:shd w:fill="FFD53D" w:color="auto" w:val="clear"/>
        </w:rPr>
        <w:t xml:space="preserve">[Date]</w:t>
      </w:r>
    </w:p>
    <w:sectPr>
      <w:pgSz w:w="11906" w:h="16838" w:orient="portrait"/>
      <w:pgMar w:top="1130" w:right="1130" w:bottom="1130" w:left="113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Outleap Data Processing Agreement (School Template)</dc:title>
  <dc:creator>Outleap</dc:creator>
  <cp:lastModifiedBy>Un-named</cp:lastModifiedBy>
  <cp:revision>1</cp:revision>
  <dcterms:created xsi:type="dcterms:W3CDTF">2026-10-21T18:00:33.943Z</dcterms:created>
  <dcterms:modified xsi:type="dcterms:W3CDTF">2026-10-21T18:00:33.944Z</dcterms:modified>
</cp:coreProperties>
</file>

<file path=docProps/custom.xml><?xml version="1.0" encoding="utf-8"?>
<Properties xmlns="http://schemas.openxmlformats.org/officeDocument/2006/custom-properties" xmlns:vt="http://schemas.openxmlformats.org/officeDocument/2006/docPropsVTypes"/>
</file>