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 w:before="280"/>
      </w:pPr>
      <w:r>
        <w:rPr>
          <w:color w:val="0F0F0D"/>
        </w:rPr>
        <w:t xml:space="preserve">Outleap DPIA Starter (School Template)</w:t>
      </w:r>
    </w:p>
    <w:p>
      <w:pPr>
        <w:spacing w:after="160" w:line="276"/>
      </w:pPr>
      <w:r>
        <w:rPr>
          <w:color w:val="55554F"/>
        </w:rPr>
        <w:t xml:space="preserve">Status: Approved baseline template for school completion. This starter document does not replace legal or DPO advice.</w:t>
      </w:r>
    </w:p>
    <w:p>
      <w:pPr>
        <w:pStyle w:val="Heading1"/>
        <w:spacing w:after="120" w:before="280"/>
      </w:pPr>
      <w:r>
        <w:rPr>
          <w:color w:val="0F0F0D"/>
        </w:rPr>
        <w:t xml:space="preserve">1. Project Summary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Project:</w:t>
      </w:r>
      <w:r>
        <w:rPr>
          <w:color w:val="55554F"/>
        </w:rPr>
        <w:t xml:space="preserve"> Outleap rollout for first-school destinations workflow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School:</w:t>
      </w:r>
      <w:r>
        <w:rPr>
          <w:color w:val="55554F"/>
        </w:rPr>
        <w:t xml:space="preserve"> </w:t>
      </w:r>
      <w:r>
        <w:rPr>
          <w:color w:val="0F0F0D"/>
          <w:shd w:fill="FFD53D" w:color="auto" w:val="clear"/>
        </w:rPr>
        <w:t xml:space="preserve">[School name]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School owner:</w:t>
      </w:r>
      <w:r>
        <w:rPr>
          <w:color w:val="55554F"/>
        </w:rPr>
        <w:t xml:space="preserve"> </w:t>
      </w:r>
      <w:r>
        <w:rPr>
          <w:color w:val="0F0F0D"/>
          <w:shd w:fill="FFD53D" w:color="auto" w:val="clear"/>
        </w:rPr>
        <w:t xml:space="preserve">[Name + role]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Outleap supplier entity:</w:t>
      </w:r>
      <w:r>
        <w:rPr>
          <w:color w:val="55554F"/>
        </w:rPr>
        <w:t xml:space="preserve"> Outleap Limited (Company No. 14277395), 3rd Floor, 86-90 Paul Street, London, England, EC2A 4NE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ICO registration:</w:t>
      </w:r>
      <w:r>
        <w:rPr>
          <w:color w:val="55554F"/>
        </w:rPr>
        <w:t xml:space="preserve"> ZB393894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Supplier contact:</w:t>
      </w:r>
      <w:r>
        <w:rPr>
          <w:color w:val="55554F"/>
        </w:rPr>
        <w:t xml:space="preserve"> Jesse Merrigan (Director and named data protection contact, supported by Outleap's documented governance and review process). General/supplier, privacy and data-rights contact: </w:t>
      </w:r>
      <w:r>
        <w:rPr>
          <w:color w:val="0F0F0D"/>
          <w:u w:val="single"/>
        </w:rPr>
        <w:t xml:space="preserve">hello@outleap.io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Start date:</w:t>
      </w:r>
      <w:r>
        <w:rPr>
          <w:color w:val="55554F"/>
        </w:rPr>
        <w:t xml:space="preserve"> </w:t>
      </w:r>
      <w:r>
        <w:rPr>
          <w:color w:val="0F0F0D"/>
          <w:shd w:fill="FFD53D" w:color="auto" w:val="clear"/>
        </w:rPr>
        <w:t xml:space="preserve">[YYYY-MM-DD]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Review date:</w:t>
      </w:r>
      <w:r>
        <w:rPr>
          <w:color w:val="55554F"/>
        </w:rPr>
        <w:t xml:space="preserve"> </w:t>
      </w:r>
      <w:r>
        <w:rPr>
          <w:color w:val="0F0F0D"/>
          <w:shd w:fill="FFD53D" w:color="auto" w:val="clear"/>
        </w:rPr>
        <w:t xml:space="preserve">[YYYY-MM-DD]</w:t>
      </w:r>
    </w:p>
    <w:p>
      <w:pPr>
        <w:pStyle w:val="Heading1"/>
        <w:spacing w:after="120" w:before="280"/>
      </w:pPr>
      <w:r>
        <w:rPr>
          <w:color w:val="0F0F0D"/>
        </w:rPr>
        <w:t xml:space="preserve">2. Processing Description</w:t>
      </w:r>
    </w:p>
    <w:p>
      <w:pPr>
        <w:pStyle w:val="Heading2"/>
        <w:spacing w:after="120" w:before="200"/>
      </w:pPr>
      <w:r>
        <w:rPr>
          <w:color w:val="0F0F0D"/>
        </w:rPr>
        <w:t xml:space="preserve">2.1 What is being processed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Student profile and school account data (name, email, role, school linkage)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Evidence entries and UCAS three-question statement drafts/submissions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Feedback drafts, published feedback, and status history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CV/application records where enabled for the school's rollout, including suggested wording stored with feedback on a cover letter or an application answer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Cohort visibility, at-risk flags, and progress/workflow metadata (milestones, submission state)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Administrative audit events and school setup metadata</w:t>
      </w:r>
    </w:p>
    <w:p>
      <w:pPr>
        <w:pStyle w:val="Heading2"/>
        <w:spacing w:after="120" w:before="200"/>
      </w:pPr>
      <w:r>
        <w:rPr>
          <w:color w:val="0F0F0D"/>
        </w:rPr>
        <w:t xml:space="preserve">2.2 Why this is processed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Give students a structured way to write their own drafts and get feedback on them in the school's active Outleap workflows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Enable staff oversight for progress and intervention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Support consistent, advisory statement feedback that staff can see through normal product views while safeguarding escalation remains owned by the school's usual route</w:t>
      </w:r>
    </w:p>
    <w:p>
      <w:pPr>
        <w:pStyle w:val="Heading2"/>
        <w:spacing w:after="120" w:before="200"/>
      </w:pPr>
      <w:r>
        <w:rPr>
          <w:color w:val="0F0F0D"/>
        </w:rPr>
        <w:t xml:space="preserve">2.3 Who can access data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Student role: own records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Teacher and school admin roles: scoped records according to assignment and school scope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Outleap admins: platform operations under contractual controls</w:t>
      </w:r>
    </w:p>
    <w:p>
      <w:pPr>
        <w:pStyle w:val="Heading1"/>
        <w:spacing w:after="120" w:before="280"/>
      </w:pPr>
      <w:r>
        <w:rPr>
          <w:color w:val="0F0F0D"/>
        </w:rPr>
        <w:t xml:space="preserve">3. Lawful Basis (School to complete)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Primary lawful basis:</w:t>
      </w:r>
      <w:r>
        <w:rPr>
          <w:color w:val="55554F"/>
        </w:rPr>
        <w:t xml:space="preserve"> </w:t>
      </w:r>
      <w:r>
        <w:rPr>
          <w:color w:val="0F0F0D"/>
          <w:shd w:fill="FFD53D" w:color="auto" w:val="clear"/>
        </w:rPr>
        <w:t xml:space="preserve">[Public task / Legitimate interests / Contract]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Special category condition (if applicable):</w:t>
      </w:r>
      <w:r>
        <w:rPr>
          <w:color w:val="55554F"/>
        </w:rPr>
        <w:t xml:space="preserve"> </w:t>
      </w:r>
      <w:r>
        <w:rPr>
          <w:color w:val="0F0F0D"/>
          <w:shd w:fill="FFD53D" w:color="auto" w:val="clear"/>
        </w:rPr>
        <w:t xml:space="preserve">[Article 9 condition]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Notes/justification:</w:t>
      </w:r>
      <w:r>
        <w:rPr>
          <w:color w:val="55554F"/>
        </w:rPr>
        <w:t xml:space="preserve"> </w:t>
      </w:r>
      <w:r>
        <w:rPr>
          <w:color w:val="0F0F0D"/>
          <w:shd w:fill="FFD53D" w:color="auto" w:val="clear"/>
        </w:rPr>
        <w:t xml:space="preserve">[School-specific rationale]</w:t>
      </w:r>
    </w:p>
    <w:p>
      <w:pPr>
        <w:pStyle w:val="Heading1"/>
        <w:spacing w:after="120" w:before="280"/>
      </w:pPr>
      <w:r>
        <w:rPr>
          <w:color w:val="0F0F0D"/>
        </w:rPr>
        <w:t xml:space="preserve">4. Necessity and Proportionality</w:t>
      </w:r>
    </w:p>
    <w:p>
      <w:pPr>
        <w:spacing w:after="160" w:line="276"/>
      </w:pPr>
      <w:r>
        <w:rPr>
          <w:color w:val="55554F"/>
        </w:rPr>
        <w:t xml:space="preserve">Document why this processing is required and proportionate.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Why these data fields are required for stated outcomes: </w:t>
      </w:r>
      <w:r>
        <w:rPr>
          <w:color w:val="0F0F0D"/>
          <w:shd w:fill="FFD53D" w:color="auto" w:val="clear"/>
        </w:rPr>
        <w:t xml:space="preserve">[text]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Why less intrusive alternatives are insufficient: </w:t>
      </w:r>
      <w:r>
        <w:rPr>
          <w:color w:val="0F0F0D"/>
          <w:shd w:fill="FFD53D" w:color="auto" w:val="clear"/>
        </w:rPr>
        <w:t xml:space="preserve">[text]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How role scoping/minimisation is enforced in school practice: </w:t>
      </w:r>
      <w:r>
        <w:rPr>
          <w:color w:val="0F0F0D"/>
          <w:shd w:fill="FFD53D" w:color="auto" w:val="clear"/>
        </w:rPr>
        <w:t xml:space="preserve">[text]</w:t>
      </w:r>
    </w:p>
    <w:p>
      <w:pPr>
        <w:pStyle w:val="Heading1"/>
        <w:spacing w:after="120" w:before="280"/>
      </w:pPr>
      <w:r>
        <w:rPr>
          <w:color w:val="0F0F0D"/>
        </w:rPr>
        <w:t xml:space="preserve">5. Data Flow Snapshot</w:t>
      </w:r>
    </w:p>
    <w:tbl>
      <w:tblPr>
        <w:tblW w:type="pct" w:w="100%"/>
        <w:tblBorders>
          <w:top w:val="single" w:color="C9C9C1" w:sz="4"/>
          <w:left w:val="single" w:color="C9C9C1" w:sz="4"/>
          <w:bottom w:val="single" w:color="C9C9C1" w:sz="4"/>
          <w:right w:val="single" w:color="C9C9C1" w:sz="4"/>
          <w:insideH w:val="single" w:color="C9C9C1" w:sz="4"/>
          <w:insideV w:val="single" w:color="C9C9C1" w:sz="4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3F3EE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F0F0D"/>
              </w:rPr>
              <w:t xml:space="preserve">Stage</w:t>
            </w:r>
          </w:p>
        </w:tc>
        <w:tc>
          <w:tcPr>
            <w:shd w:fill="F3F3EE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F0F0D"/>
              </w:rPr>
              <w:t xml:space="preserve">Data in</w:t>
            </w:r>
          </w:p>
        </w:tc>
        <w:tc>
          <w:tcPr>
            <w:shd w:fill="F3F3EE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F0F0D"/>
              </w:rPr>
              <w:t xml:space="preserve">Processor/system</w:t>
            </w:r>
          </w:p>
        </w:tc>
        <w:tc>
          <w:tcPr>
            <w:shd w:fill="F3F3EE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F0F0D"/>
              </w:rPr>
              <w:t xml:space="preserve">Data out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Authentication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Email + auth token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Firebase Auth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Role-scoped session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Evidence capture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Evidence entry text + metadata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Outleap API + Firestore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Saved evidence records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Draft workflow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Statement text + metadata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Outleap API + Firestore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Saved draft/submission state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AI feedback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The student's own writing + minimum workflow context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Approved AI service provider in the UK/EU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Structured feedback returned to the Outleap API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Feedback delivery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Generated feedback + workflow metadata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Outleap API + Firestore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Advisory feedback published to the student; statement feedback visible to staff through normal product views; feedback on a cover letter or an application answer can include suggested wording, stored with the feedback and not shown in the product views; no automated safeguarding alert delivery, staff routing or review hold in the service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AI drafting support, on the student's request (where enabled)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The student's own evidence, or the CV point they choose + minimum workflow context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Approved AI service provider in the UK/EU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A first CV built from the student's own evidence (where the school's CV setting allows it), stored when made; or a reworded CV point, returned to the student and stored only if they choose it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Evidence structuring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A note about something the student has done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Approved AI service provider in the UK/EU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A piece of evidence, returned to the student and stored only if they keep it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Page reading (where enabled)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A course page the student keeps, or an advert or link they paste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Approved AI service provider in the UK/EU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What it asks for: a course page's reading is stored when made; an advert's reading is stored only if the student keeps it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CV/application workspaces (where enabled)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Evidence + CV/application text/context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Outleap API + Firestore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Student-owned CV/application drafts, support and review states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Reporting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Progress + status data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Admin insights endpoints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School admin views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color w:val="0F0F0D"/>
        </w:rPr>
        <w:t xml:space="preserve">6. Risk Assessment</w:t>
      </w:r>
    </w:p>
    <w:p>
      <w:pPr>
        <w:spacing w:after="160" w:line="276"/>
      </w:pPr>
      <w:r>
        <w:rPr>
          <w:color w:val="55554F"/>
        </w:rPr>
        <w:t xml:space="preserve">Rate likelihood and impact for your school context.</w:t>
      </w:r>
    </w:p>
    <w:tbl>
      <w:tblPr>
        <w:tblW w:type="pct" w:w="100%"/>
        <w:tblBorders>
          <w:top w:val="single" w:color="C9C9C1" w:sz="4"/>
          <w:left w:val="single" w:color="C9C9C1" w:sz="4"/>
          <w:bottom w:val="single" w:color="C9C9C1" w:sz="4"/>
          <w:right w:val="single" w:color="C9C9C1" w:sz="4"/>
          <w:insideH w:val="single" w:color="C9C9C1" w:sz="4"/>
          <w:insideV w:val="single" w:color="C9C9C1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3F3EE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F0F0D"/>
              </w:rPr>
              <w:t xml:space="preserve">Risk</w:t>
            </w:r>
          </w:p>
        </w:tc>
        <w:tc>
          <w:tcPr>
            <w:shd w:fill="F3F3EE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F0F0D"/>
              </w:rPr>
              <w:t xml:space="preserve">Likelihood</w:t>
            </w:r>
          </w:p>
        </w:tc>
        <w:tc>
          <w:tcPr>
            <w:shd w:fill="F3F3EE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F0F0D"/>
              </w:rPr>
              <w:t xml:space="preserve">Impact</w:t>
            </w:r>
          </w:p>
        </w:tc>
        <w:tc>
          <w:tcPr>
            <w:shd w:fill="F3F3EE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F0F0D"/>
              </w:rPr>
              <w:t xml:space="preserve">Controls</w:t>
            </w:r>
          </w:p>
        </w:tc>
        <w:tc>
          <w:tcPr>
            <w:shd w:fill="F3F3EE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color w:val="0F0F0D"/>
              </w:rPr>
              <w:t xml:space="preserve">Residual risk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Unauthorised access to student records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  <w:shd w:fill="FFD53D" w:color="auto" w:val="clear"/>
              </w:rPr>
              <w:t xml:space="preserve">[L/M/H]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  <w:shd w:fill="FFD53D" w:color="auto" w:val="clear"/>
              </w:rPr>
              <w:t xml:space="preserve">[L/M/H]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RBAC, school scoping, auth controls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  <w:shd w:fill="FFD53D" w:color="auto" w:val="clear"/>
              </w:rPr>
              <w:t xml:space="preserve">[L/M/H]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Cross-school data visibility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  <w:shd w:fill="FFD53D" w:color="auto" w:val="clear"/>
              </w:rPr>
              <w:t xml:space="preserve">[L/M/H]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  <w:shd w:fill="FFD53D" w:color="auto" w:val="clear"/>
              </w:rPr>
              <w:t xml:space="preserve">[L/M/H]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SchoolId scoping checks, role middleware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  <w:shd w:fill="FFD53D" w:color="auto" w:val="clear"/>
              </w:rPr>
              <w:t xml:space="preserve">[L/M/H]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Inappropriate handling of sensitive statement content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  <w:shd w:fill="FFD53D" w:color="auto" w:val="clear"/>
              </w:rPr>
              <w:t xml:space="preserve">[L/M/H]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  <w:shd w:fill="FFD53D" w:color="auto" w:val="clear"/>
              </w:rPr>
              <w:t xml:space="preserve">[L/M/H]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Staff visibility of feedback, school safeguarding process, Outleap operational support handoff if required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  <w:shd w:fill="FFD53D" w:color="auto" w:val="clear"/>
              </w:rPr>
              <w:t xml:space="preserve">[L/M/H]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Unnecessary disclosure or retention by an external AI service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  <w:shd w:fill="FFD53D" w:color="auto" w:val="clear"/>
              </w:rPr>
              <w:t xml:space="preserve">[L/M/H]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  <w:shd w:fill="FFD53D" w:color="auto" w:val="clear"/>
              </w:rPr>
              <w:t xml:space="preserve">[L/M/H]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Minimum relevant workflow context; UK/EU provider routing; raw AI-output logging disabled; least-privilege runtime credentials; documented provider retention and contract terms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  <w:shd w:fill="FFD53D" w:color="auto" w:val="clear"/>
              </w:rPr>
              <w:t xml:space="preserve">[L/M/H]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Retention beyond educational need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  <w:shd w:fill="FFD53D" w:color="auto" w:val="clear"/>
              </w:rPr>
              <w:t xml:space="preserve">[L/M/H]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  <w:shd w:fill="FFD53D" w:color="auto" w:val="clear"/>
              </w:rPr>
              <w:t xml:space="preserve">[L/M/H]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Retention schedule + deletion workflow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  <w:shd w:fill="FFD53D" w:color="auto" w:val="clear"/>
              </w:rPr>
              <w:t xml:space="preserve">[L/M/H]</w:t>
            </w:r>
          </w:p>
        </w:tc>
      </w:tr>
      <w:t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Overreliance on AI feedback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  <w:shd w:fill="FFD53D" w:color="auto" w:val="clear"/>
              </w:rPr>
              <w:t xml:space="preserve">[L/M/H]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  <w:shd w:fill="FFD53D" w:color="auto" w:val="clear"/>
              </w:rPr>
              <w:t xml:space="preserve">[L/M/H]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</w:rPr>
              <w:t xml:space="preserve">Feedback labelled as advisory, staff visibility, human judgement retained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color w:val="0F0F0D"/>
                <w:shd w:fill="FFD53D" w:color="auto" w:val="clear"/>
              </w:rPr>
              <w:t xml:space="preserve">[L/M/H]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color w:val="0F0F0D"/>
        </w:rPr>
        <w:t xml:space="preserve">7. Mitigation Actions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0F0F0D"/>
        </w:rPr>
        <w:t xml:space="preserve">☐ </w:t>
      </w:r>
      <w:r>
        <w:rPr>
          <w:color w:val="55554F"/>
        </w:rPr>
        <w:t xml:space="preserve">Confirm school role model and access governance.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0F0F0D"/>
        </w:rPr>
        <w:t xml:space="preserve">☐ </w:t>
      </w:r>
      <w:r>
        <w:rPr>
          <w:color w:val="55554F"/>
        </w:rPr>
        <w:t xml:space="preserve">Agree retention windows by dataset and cycle.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0F0F0D"/>
        </w:rPr>
        <w:t xml:space="preserve">☐ </w:t>
      </w:r>
      <w:r>
        <w:rPr>
          <w:color w:val="55554F"/>
        </w:rPr>
        <w:t xml:space="preserve">Confirm safeguarding escalation route for concerning content.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0F0F0D"/>
        </w:rPr>
        <w:t xml:space="preserve">☐ </w:t>
      </w:r>
      <w:r>
        <w:rPr>
          <w:color w:val="55554F"/>
        </w:rPr>
        <w:t xml:space="preserve">Review and accept the current subprocessor list and data-flow description.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0F0F0D"/>
        </w:rPr>
        <w:t xml:space="preserve">☐ </w:t>
      </w:r>
      <w:r>
        <w:rPr>
          <w:color w:val="55554F"/>
        </w:rPr>
        <w:t xml:space="preserve">Confirm approved AI subprocessors, UK/EU processing arrangements and provider retention terms.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0F0F0D"/>
        </w:rPr>
        <w:t xml:space="preserve">☐ </w:t>
      </w:r>
      <w:r>
        <w:rPr>
          <w:color w:val="55554F"/>
        </w:rPr>
        <w:t xml:space="preserve">Document DSAR and breach communication contacts.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0F0F0D"/>
        </w:rPr>
        <w:t xml:space="preserve">☐ </w:t>
      </w:r>
      <w:r>
        <w:rPr>
          <w:color w:val="55554F"/>
        </w:rPr>
        <w:t xml:space="preserve">Complete contract pack (DPA + policy references).</w:t>
      </w:r>
    </w:p>
    <w:p>
      <w:pPr>
        <w:pStyle w:val="Heading1"/>
        <w:spacing w:after="120" w:before="280"/>
      </w:pPr>
      <w:r>
        <w:rPr>
          <w:color w:val="0F0F0D"/>
        </w:rPr>
        <w:t xml:space="preserve">8. Data Residency and Transfers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School confirms acceptance of documented residency statement in the supplier trust pack.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School confirms that relevant processing can occur in supported EU regions
and records the applicable UK adequacy basis or other appropriate safeguard.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School confirms transfer safeguards are documented where any other non-UK processing occurs.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School records any local policy constraints here: </w:t>
      </w:r>
      <w:r>
        <w:rPr>
          <w:color w:val="0F0F0D"/>
          <w:shd w:fill="FFD53D" w:color="auto" w:val="clear"/>
        </w:rPr>
        <w:t xml:space="preserve">[text]</w:t>
      </w:r>
      <w:r>
        <w:rPr>
          <w:color w:val="55554F"/>
        </w:rPr>
        <w:t xml:space="preserve">.</w:t>
      </w:r>
    </w:p>
    <w:p>
      <w:pPr>
        <w:pStyle w:val="Heading1"/>
        <w:spacing w:after="120" w:before="280"/>
      </w:pPr>
      <w:r>
        <w:rPr>
          <w:color w:val="0F0F0D"/>
        </w:rPr>
        <w:t xml:space="preserve">9. Decision and Sign-Off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Residual risk level:</w:t>
      </w:r>
      <w:r>
        <w:rPr>
          <w:color w:val="55554F"/>
        </w:rPr>
        <w:t xml:space="preserve"> </w:t>
      </w:r>
      <w:r>
        <w:rPr>
          <w:color w:val="0F0F0D"/>
          <w:shd w:fill="FFD53D" w:color="auto" w:val="clear"/>
        </w:rPr>
        <w:t xml:space="preserve">[Low / Medium / High]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DPO consultation required:</w:t>
      </w:r>
      <w:r>
        <w:rPr>
          <w:color w:val="55554F"/>
        </w:rPr>
        <w:t xml:space="preserve"> </w:t>
      </w:r>
      <w:r>
        <w:rPr>
          <w:color w:val="0F0F0D"/>
          <w:shd w:fill="FFD53D" w:color="auto" w:val="clear"/>
        </w:rPr>
        <w:t xml:space="preserve">[Yes / No]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Approved by:</w:t>
      </w:r>
      <w:r>
        <w:rPr>
          <w:color w:val="55554F"/>
        </w:rPr>
        <w:t xml:space="preserve"> </w:t>
      </w:r>
      <w:r>
        <w:rPr>
          <w:color w:val="0F0F0D"/>
          <w:shd w:fill="FFD53D" w:color="auto" w:val="clear"/>
        </w:rPr>
        <w:t xml:space="preserve">[Name + role]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b/>
          <w:bCs/>
          <w:color w:val="55554F"/>
        </w:rPr>
        <w:t xml:space="preserve">Date:</w:t>
      </w:r>
      <w:r>
        <w:rPr>
          <w:color w:val="55554F"/>
        </w:rPr>
        <w:t xml:space="preserve"> </w:t>
      </w:r>
      <w:r>
        <w:rPr>
          <w:color w:val="0F0F0D"/>
          <w:shd w:fill="FFD53D" w:color="auto" w:val="clear"/>
        </w:rPr>
        <w:t xml:space="preserve">[YYYY-MM-DD]</w:t>
      </w:r>
    </w:p>
    <w:p>
      <w:pPr>
        <w:pStyle w:val="Heading1"/>
        <w:spacing w:after="120" w:before="280"/>
      </w:pPr>
      <w:r>
        <w:rPr>
          <w:color w:val="0F0F0D"/>
        </w:rPr>
        <w:t xml:space="preserve">10. Review Cycle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Reassess at least annually, or sooner if processing scope materially changes.</w:t>
      </w:r>
    </w:p>
    <w:p>
      <w:pPr>
        <w:pStyle w:val="ListParagraph"/>
        <w:numPr>
          <w:ilvl w:val="0"/>
          <w:numId w:val="1"/>
        </w:numPr>
        <w:spacing w:after="60" w:line="264"/>
      </w:pPr>
      <w:r>
        <w:rPr>
          <w:color w:val="55554F"/>
        </w:rPr>
        <w:t xml:space="preserve">Reassess after significant incidents, safeguarding events, or supplier architecture changes.</w:t>
      </w:r>
    </w:p>
    <w:sectPr>
      <w:pgSz w:w="11906" w:h="16838" w:orient="portrait"/>
      <w:pgMar w:top="1130" w:right="1130" w:bottom="1130" w:left="113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Outleap DPIA Starter (School Template)</dc:title>
  <dc:creator>Outleap</dc:creator>
  <cp:lastModifiedBy>Un-named</cp:lastModifiedBy>
  <cp:revision>1</cp:revision>
  <dcterms:created xsi:type="dcterms:W3CDTF">2026-10-21T18:00:33.966Z</dcterms:created>
  <dcterms:modified xsi:type="dcterms:W3CDTF">2026-10-21T18:00:33.966Z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