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 w:before="280"/>
      </w:pPr>
      <w:r>
        <w:rPr>
          <w:color w:val="0F0F0D"/>
        </w:rPr>
        <w:t xml:space="preserve">Outleap Subprocessor List</w:t>
      </w:r>
    </w:p>
    <w:p>
      <w:pPr>
        <w:spacing w:after="160" w:line="276"/>
      </w:pPr>
      <w:r>
        <w:rPr>
          <w:color w:val="55554F"/>
        </w:rPr>
        <w:t xml:space="preserve">Status: Current service-delivery subprocessors as at 26 September 2026. The signed
school agreement and Data Processing Agreement govern the service.</w:t>
      </w:r>
    </w:p>
    <w:tbl>
      <w:tblPr>
        <w:tblW w:type="pct" w:w="100%"/>
        <w:tblBorders>
          <w:top w:val="single" w:color="C9C9C1" w:sz="4"/>
          <w:left w:val="single" w:color="C9C9C1" w:sz="4"/>
          <w:bottom w:val="single" w:color="C9C9C1" w:sz="4"/>
          <w:right w:val="single" w:color="C9C9C1" w:sz="4"/>
          <w:insideH w:val="single" w:color="C9C9C1" w:sz="4"/>
          <w:insideV w:val="single" w:color="C9C9C1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3F3EE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F0F0D"/>
              </w:rPr>
              <w:t xml:space="preserve">Subprocessor</w:t>
            </w:r>
          </w:p>
        </w:tc>
        <w:tc>
          <w:tcPr>
            <w:shd w:fill="F3F3EE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F0F0D"/>
              </w:rPr>
              <w:t xml:space="preserve">Purpose</w:t>
            </w:r>
          </w:p>
        </w:tc>
        <w:tc>
          <w:tcPr>
            <w:shd w:fill="F3F3EE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F0F0D"/>
              </w:rPr>
              <w:t xml:space="preserve">Data involved</w:t>
            </w:r>
          </w:p>
        </w:tc>
        <w:tc>
          <w:tcPr>
            <w:shd w:fill="F3F3EE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F0F0D"/>
              </w:rPr>
              <w:t xml:space="preserve">Processing location and transfer notes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Google Cloud / Firebase (Google)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Platform hosting, API runtime, authentication, database, task queue and storage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Account data, student workflow content, feedback records and operational metadata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Core workloads use UK/EU-oriented Google Cloud regions, including </w:t>
            </w:r>
            <w:r>
              <w:rPr>
                <w:rFonts w:ascii="Consolas" w:cs="Consolas" w:eastAsia="Consolas" w:hAnsi="Consolas"/>
                <w:color w:val="0F0F0D"/>
              </w:rPr>
              <w:t xml:space="preserve">europe-west2</w:t>
            </w:r>
            <w:r>
              <w:rPr>
                <w:color w:val="0F0F0D"/>
              </w:rPr>
              <w:t xml:space="preserve"> and </w:t>
            </w:r>
            <w:r>
              <w:rPr>
                <w:rFonts w:ascii="Consolas" w:cs="Consolas" w:eastAsia="Consolas" w:hAnsi="Consolas"/>
                <w:color w:val="0F0F0D"/>
              </w:rPr>
              <w:t xml:space="preserve">europe-west4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Google Vertex AI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AI feedback on students' own writing; on a student's request, a first CV built from their own evidence or a reworded CV point; sorting a note into a piece of evidence; and, where enabled, reading a course page, an advert or a link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Relevant student-provided content, or the page or advert being read, and the minimum workflow context needed to provide the requested support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UK/EU Google Cloud regions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Amazon Web Services (Amazon Bedrock)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AI feedback on students' UCAS personal statements, where Outleap routes that feedback to it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The statement and the minimum workflow context needed to provide the feedback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Supported EU AWS regions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Postmark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Transactional login, reminder and notification email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Recipient email address, message metadata and delivery events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US-based processing; the signed contract schedule records the applicable UK transfer safeguard</w:t>
            </w:r>
          </w:p>
        </w:tc>
      </w:tr>
    </w:tbl>
    <w:p>
      <w:pPr>
        <w:spacing w:after="120"/>
      </w:pPr>
    </w:p>
    <w:p>
      <w:pPr>
        <w:spacing w:after="160" w:line="276"/>
      </w:pPr>
      <w:r>
        <w:rPr>
          <w:color w:val="55554F"/>
        </w:rPr>
        <w:t xml:space="preserve">Outleap applies data minimisation, encrypted transport, role-scoped access and
least-privilege service identities. Outleap does not log student content or AI
output.</w:t>
      </w:r>
    </w:p>
    <w:p>
      <w:pPr>
        <w:spacing w:after="160" w:line="276"/>
      </w:pPr>
      <w:r>
        <w:rPr>
          <w:color w:val="55554F"/>
        </w:rPr>
        <w:t xml:space="preserve">Material changes to this list should be communicated according to the notice
period in the signed school agreement.</w:t>
      </w:r>
    </w:p>
    <w:sectPr>
      <w:pgSz w:w="11906" w:h="16838" w:orient="portrait"/>
      <w:pgMar w:top="1130" w:right="1130" w:bottom="1130" w:left="113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Outleap Subprocessor List</dc:title>
  <dc:creator>Outleap</dc:creator>
  <cp:lastModifiedBy>Un-named</cp:lastModifiedBy>
  <cp:revision>1</cp:revision>
  <dcterms:created xsi:type="dcterms:W3CDTF">2026-10-21T18:00:33.975Z</dcterms:created>
  <dcterms:modified xsi:type="dcterms:W3CDTF">2026-10-21T18:00:33.975Z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